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Рабочая техническая спецификация</w:t>
      </w:r>
    </w:p>
    <w:p>
      <w:pPr>
        <w:spacing w:after="240"/>
      </w:pPr>
      <w:r>
        <w:rPr>
          <w:color w:val="5E6572"/>
          <w:sz w:val="22"/>
        </w:rPr>
        <w:t>На поставку комплекта оборудования для проведения игр в лазертаг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4F4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6" w:color="D71920"/>
              <w:left w:val="single" w:sz="6" w:color="D71920"/>
              <w:bottom w:val="single" w:sz="6" w:color="D71920"/>
              <w:right w:val="single" w:sz="6" w:color="D71920"/>
            </w:tcBorders>
          </w:tcPr>
          <w:p>
            <w:r>
              <w:rPr>
                <w:b/>
                <w:color w:val="D71920"/>
              </w:rPr>
              <w:t>Перед использованием</w:t>
              <w:br/>
            </w:r>
            <w:r>
              <w:rPr>
                <w:color w:val="151A22"/>
              </w:rPr>
              <w:t>Удалите ненужные строки, заполните поля и проверьте каждое требование. Совокупность характеристик не должна необоснованно ограничивать конкуренцию. Значения должны быть связаны с реальной потребностью и проверяться при приемке.</w:t>
            </w:r>
          </w:p>
        </w:tc>
      </w:tr>
    </w:tbl>
    <w:p>
      <w:pPr>
        <w:pStyle w:val="Heading1"/>
      </w:pPr>
      <w:r>
        <w:t>1. Общая информация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Наименование объекта закупки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Поставка комплекта оборудования для проведения игр в лазертаг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Заказчик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[Полное наименование]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ОКПД2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[Определяется заказчиком после проверки актуального классификатора]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Позиция КТРУ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[Указать при наличии и обязательности применения]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Количество комплектов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 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Адрес поставки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 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Срок поставки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 ]</w:t>
            </w:r>
          </w:p>
        </w:tc>
      </w:tr>
    </w:tbl>
    <w:p>
      <w:pPr>
        <w:pStyle w:val="Heading1"/>
      </w:pPr>
      <w:r>
        <w:t>2. Назначение оборудования</w:t>
      </w:r>
    </w:p>
    <w:p>
      <w:r>
        <w:t>Оборудование предназначено для проведения командных игр, учебных, спортивных и/или военно-патриотических мероприятий с одновременным участием не менее [___] человек в условиях [помещения / открытой площадки / смешанного использования].</w:t>
      </w:r>
    </w:p>
    <w:p>
      <w:r>
        <w:t>Поставляемые элементы должны образовывать единую совместимую систему и обеспечивать проведение мероприятия сразу после поставки, настройки и приемки без приобретения заказчиком обязательных дополнительных устройств, если они прямо не исключены из состава закупки.</w:t>
      </w:r>
    </w:p>
    <w:p>
      <w:pPr>
        <w:pStyle w:val="Heading1"/>
      </w:pPr>
      <w:r>
        <w:t>3. Состав и комплектность поставки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rPr>
          <w:tblHeader w:val="true"/>
        </w:trP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3"/>
              </w:rPr>
              <w:t>№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3"/>
              </w:rPr>
              <w:t>Наименование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3"/>
              </w:rPr>
              <w:t>Кол-во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3"/>
              </w:rPr>
              <w:t>Ед.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3"/>
              </w:rPr>
              <w:t>Обязательные функции / комплектность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3"/>
              </w:rPr>
              <w:t>Способ проверки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1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Игровое устройство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[ ]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шт.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Регистрация игрового взаимодействия; изменение настроек; работа с датчиком поражения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Включение, тестовые попадания, изменение параметров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2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Датчик поражения / головная повязка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[ ]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шт.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Регистрация попаданий; световая и/или звуковая индикация; регулируемое крепление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Тест совместно с игровым устройством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3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Зарядная станция / устройства зарядки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[ ]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компл.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Одновременная или последовательная зарядка всего комплекта в установленный срок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Подключение, индикация зарядки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4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Устройство централизованного управления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[ ]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шт.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Создание команд, изменение параметров, запуск/остановка игры, просмотр состояния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Функциональный запуск и настройка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5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Программное обеспечение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1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компл.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Работа с поставляемым оборудованием; без скрытых обязательных платежей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Установка/запуск, демонстрация функций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6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Средство связи / маршрутизатор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[ ]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шт.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Если требуется для штатной работы системы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Подключение всего комплекта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7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Дополнительные игровые устройства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[ ]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шт.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[База / контрольная точка / аптечка / электронный флаг]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Запуск выбранного сценария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8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Кейс / сумка для хранения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[ ]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шт.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Размещение и защита оборудования при хранении и перевозке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Визуальная проверка вместимости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9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Кабели, блоки питания, крепления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1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компл.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Все необходимое для зарядки, соединения и эксплуатации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3"/>
              </w:rPr>
              <w:t>Сверка и подключение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10</w:t>
            </w:r>
          </w:p>
        </w:tc>
        <w:tc>
          <w:tcPr>
            <w:tcW w:type="dxa" w:w="209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Документация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1</w:t>
            </w:r>
          </w:p>
        </w:tc>
        <w:tc>
          <w:tcPr>
            <w:tcW w:type="dxa" w:w="73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компл.</w:t>
            </w:r>
          </w:p>
        </w:tc>
        <w:tc>
          <w:tcPr>
            <w:tcW w:type="dxa" w:w="334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Руководство по эксплуатации, гарантийные документы, документы о соответствии при обязательности</w:t>
            </w:r>
          </w:p>
        </w:tc>
        <w:tc>
          <w:tcPr>
            <w:tcW w:type="dxa" w:w="226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3"/>
              </w:rPr>
              <w:t>Сверка перечня документов</w:t>
            </w:r>
          </w:p>
        </w:tc>
      </w:tr>
    </w:tbl>
    <w:p>
      <w:pPr>
        <w:pStyle w:val="Heading1"/>
      </w:pPr>
      <w:r>
        <w:t>4. Функциональные и технические характеристики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№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Показатель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Требование заказчика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Вид показателя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Способ проверки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1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Количество одновременно работающих игровых устройств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Не менее [___]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Минимальное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Одновременное включение и тест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2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Количество команд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Не менее [___]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Минимальное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Настройка в системе управления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3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Дальность игрового взаимодействия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Не менее [___] м в условиях [указать]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Минимальное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Проверка на контрольной дистанции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4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Время автономной работы игрового устройства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Не менее [___] часов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Минимальное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По документации и/или контрольной эксплуатации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5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Время автономной работы датчика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Не менее [___] часов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Минимальное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По документации и/или контрольной эксплуатации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6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Время полной зарядки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Не более [___] часов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Максимальное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По документации / контрольной зарядке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7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Индикация состояния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Световая и/или звуковая; отображение [перечень]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Неизменяемое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Визуальная и функциональная проверка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8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Централизованная настройка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Поддерживается для не менее [___] устройств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Минимальное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Изменение настроек нескольких устройств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9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Работа без постоянного доступа к интернету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[Требуется / не требуется]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Неизменяемое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Запуск в автономной локальной сети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10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Температура эксплуатации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От [___] °C до [___] °C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Диапазон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По документации изготовителя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11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Масса игрового устройства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Не более [___] кг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Максимальное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Взвешивание / документация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12</w:t>
            </w:r>
          </w:p>
        </w:tc>
        <w:tc>
          <w:tcPr>
            <w:tcW w:type="dxa" w:w="266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Материал и исполнение корпуса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[Объективно описать требование]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Неизменяемое</w:t>
            </w:r>
          </w:p>
        </w:tc>
        <w:tc>
          <w:tcPr>
            <w:tcW w:type="dxa" w:w="198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Визуальная проверка / документация</w:t>
            </w:r>
          </w:p>
        </w:tc>
      </w:tr>
    </w:tbl>
    <w:p>
      <w:pPr>
        <w:pStyle w:val="Heading1"/>
      </w:pPr>
      <w:r>
        <w:t>5. Управление и программное обеспечение</w:t>
      </w:r>
    </w:p>
    <w:p>
      <w:pPr>
        <w:pStyle w:val="ListBullet"/>
      </w:pPr>
      <w:r>
        <w:t>создание и изменение команд;</w:t>
      </w:r>
    </w:p>
    <w:p>
      <w:pPr>
        <w:pStyle w:val="ListBullet"/>
      </w:pPr>
      <w:r>
        <w:t>изменение количества игровых жизней, продолжительности игры и иных выбранных параметров;</w:t>
      </w:r>
    </w:p>
    <w:p>
      <w:pPr>
        <w:pStyle w:val="ListBullet"/>
      </w:pPr>
      <w:r>
        <w:t>централизованный запуск и завершение игры;</w:t>
      </w:r>
    </w:p>
    <w:p>
      <w:pPr>
        <w:pStyle w:val="ListBullet"/>
      </w:pPr>
      <w:r>
        <w:t>контроль состояния подключенных устройств;</w:t>
      </w:r>
    </w:p>
    <w:p>
      <w:pPr>
        <w:pStyle w:val="ListBullet"/>
      </w:pPr>
      <w:r>
        <w:t>просмотр результатов и/или статистики, если это необходимо заказчику;</w:t>
      </w:r>
    </w:p>
    <w:p>
      <w:pPr>
        <w:pStyle w:val="ListBullet"/>
      </w:pPr>
      <w:r>
        <w:t>сохранение настроек и повторное использование сценариев;</w:t>
      </w:r>
    </w:p>
    <w:p>
      <w:pPr>
        <w:pStyle w:val="ListBullet"/>
      </w:pPr>
      <w:r>
        <w:t>работа на [планшете / смартфоне / компьютере / специальном пульте];</w:t>
      </w:r>
    </w:p>
    <w:p>
      <w:pPr>
        <w:pStyle w:val="ListBullet"/>
      </w:pPr>
      <w:r>
        <w:t>предоставление лицензии на срок [бессрочно / не менее ___ месяцев];</w:t>
      </w:r>
    </w:p>
    <w:p>
      <w:pPr>
        <w:pStyle w:val="ListBullet"/>
      </w:pPr>
      <w:r>
        <w:t>отсутствие обязательных платежей, не включенных в цену контракта.</w:t>
      </w:r>
    </w:p>
    <w:p>
      <w:pPr>
        <w:pStyle w:val="Heading1"/>
      </w:pPr>
      <w:r>
        <w:t>6. Совместимость</w:t>
      </w:r>
    </w:p>
    <w:p>
      <w:r>
        <w:t>Все игровые устройства, датчики поражения, средства управления, зарядные устройства, программное обеспечение и дополнительные игровые устройства должны быть взаимно совместимы и функционировать в составе единой системы.</w:t>
      </w:r>
    </w:p>
    <w:p>
      <w:r>
        <w:t>Если закупка проводится для расширения имеющегося комплекта, заказчик заполняет раздел ниже и прикладывает обоснование необходимости совместимости: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Имеющееся оборудование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[Наименование, модель, версия, количество]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Требуемое взаимодействие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[Какие функции должны работать совместно]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Обоснование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[Почему использование несовместимого товара не позволяет решить задачу]</w:t>
            </w:r>
          </w:p>
        </w:tc>
      </w:tr>
    </w:tbl>
    <w:p>
      <w:pPr>
        <w:pStyle w:val="Heading1"/>
      </w:pPr>
      <w:r>
        <w:t>7. Требования к поставке и вводу в эксплуатацию</w:t>
      </w:r>
    </w:p>
    <w:p>
      <w:pPr>
        <w:pStyle w:val="ListBullet"/>
      </w:pPr>
      <w:r>
        <w:t>товар новый, не бывший в эксплуатации, без повреждений и следов использования;</w:t>
      </w:r>
    </w:p>
    <w:p>
      <w:pPr>
        <w:pStyle w:val="ListBullet"/>
      </w:pPr>
      <w:r>
        <w:t>упаковка обеспечивает сохранность при транспортировке и хранении;</w:t>
      </w:r>
    </w:p>
    <w:p>
      <w:pPr>
        <w:pStyle w:val="ListBullet"/>
      </w:pPr>
      <w:r>
        <w:t>доставка и разгрузка выполняются силами и за счет поставщика;</w:t>
      </w:r>
    </w:p>
    <w:p>
      <w:pPr>
        <w:pStyle w:val="ListBullet"/>
      </w:pPr>
      <w:r>
        <w:t>поставщик передает полный комплект кабелей, блоков питания и принадлежностей;</w:t>
      </w:r>
    </w:p>
    <w:p>
      <w:pPr>
        <w:pStyle w:val="ListBullet"/>
      </w:pPr>
      <w:r>
        <w:t>проводится настройка и функциональная проверка всего комплекта;</w:t>
      </w:r>
    </w:p>
    <w:p>
      <w:pPr>
        <w:pStyle w:val="ListBullet"/>
      </w:pPr>
      <w:r>
        <w:t>при необходимости проводится инструктаж не менее [___] представителей заказчика продолжительностью не менее [___] минут/часов;</w:t>
      </w:r>
    </w:p>
    <w:p>
      <w:pPr>
        <w:pStyle w:val="ListBullet"/>
      </w:pPr>
      <w:r>
        <w:t>результат инструктажа: представители заказчика умеют заряжать, настраивать, запускать и завершать игру, а также выполнять базовую диагностику.</w:t>
      </w:r>
    </w:p>
    <w:p>
      <w:pPr>
        <w:pStyle w:val="Heading1"/>
      </w:pPr>
      <w:r>
        <w:t>8. Документы, передаваемые с товаром</w:t>
      </w:r>
    </w:p>
    <w:p>
      <w:pPr>
        <w:pStyle w:val="ListBullet"/>
      </w:pPr>
      <w:r>
        <w:t>универсальный передаточный документ или товарная накладная;</w:t>
      </w:r>
    </w:p>
    <w:p>
      <w:pPr>
        <w:pStyle w:val="ListBullet"/>
      </w:pPr>
      <w:r>
        <w:t>документ о приемке в установленной форме;</w:t>
      </w:r>
    </w:p>
    <w:p>
      <w:pPr>
        <w:pStyle w:val="ListBullet"/>
      </w:pPr>
      <w:r>
        <w:t>руководство по эксплуатации на русском языке;</w:t>
      </w:r>
    </w:p>
    <w:p>
      <w:pPr>
        <w:pStyle w:val="ListBullet"/>
      </w:pPr>
      <w:r>
        <w:t>паспорт / формуляр изделия при наличии;</w:t>
      </w:r>
    </w:p>
    <w:p>
      <w:pPr>
        <w:pStyle w:val="ListBullet"/>
      </w:pPr>
      <w:r>
        <w:t>гарантийный документ;</w:t>
      </w:r>
    </w:p>
    <w:p>
      <w:pPr>
        <w:pStyle w:val="ListBullet"/>
      </w:pPr>
      <w:r>
        <w:t>перечень серийных или идентификационных номеров при их наличии;</w:t>
      </w:r>
    </w:p>
    <w:p>
      <w:pPr>
        <w:pStyle w:val="ListBullet"/>
      </w:pPr>
      <w:r>
        <w:t>документы о соответствии, если их наличие обязательно для конкретного товара;</w:t>
      </w:r>
    </w:p>
    <w:p>
      <w:pPr>
        <w:pStyle w:val="ListBullet"/>
      </w:pPr>
      <w:r>
        <w:t>документы о стране происхождения в случаях, установленных законодательством и условиями закупки;</w:t>
      </w:r>
    </w:p>
    <w:p>
      <w:pPr>
        <w:pStyle w:val="ListBullet"/>
      </w:pPr>
      <w:r>
        <w:t>инструкция по установке и настройке программного обеспечения.</w:t>
      </w:r>
    </w:p>
    <w:p>
      <w:pPr>
        <w:pStyle w:val="Heading1"/>
      </w:pPr>
      <w:r>
        <w:t>9. Гарантийные требования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Гарантийный срок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Не менее [___] месяцев с даты подписания документа о приемке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Срок реакции на обращение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Не более [___] рабочих дней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Срок ремонта / замены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Не более [___] календарных дней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Доставка в гарантийный ремонт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[За счет поставщика / иной порядок]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Подменное оборудование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[Требуется / не требуется; условия]</w:t>
            </w:r>
          </w:p>
        </w:tc>
      </w:tr>
    </w:tbl>
    <w:p>
      <w:pPr>
        <w:pStyle w:val="Heading1"/>
      </w:pPr>
      <w:r>
        <w:t>10. Порядок приемки и функционального тестирования</w:t>
      </w:r>
    </w:p>
    <w:p>
      <w:pPr>
        <w:pStyle w:val="ListNumber"/>
      </w:pPr>
      <w:r>
        <w:t>Сверка количества, наименований, комплектности и идентификационных номеров.</w:t>
      </w:r>
    </w:p>
    <w:p>
      <w:pPr>
        <w:pStyle w:val="ListNumber"/>
      </w:pPr>
      <w:r>
        <w:t>Внешний осмотр корпусов, креплений, кабелей, разъемов и зарядных устройств.</w:t>
      </w:r>
    </w:p>
    <w:p>
      <w:pPr>
        <w:pStyle w:val="ListNumber"/>
      </w:pPr>
      <w:r>
        <w:t>Включение всех игровых устройств и датчиков.</w:t>
      </w:r>
    </w:p>
    <w:p>
      <w:pPr>
        <w:pStyle w:val="ListNumber"/>
      </w:pPr>
      <w:r>
        <w:t>Настройка не менее [___] команд и изменение основных параметров.</w:t>
      </w:r>
    </w:p>
    <w:p>
      <w:pPr>
        <w:pStyle w:val="ListNumber"/>
      </w:pPr>
      <w:r>
        <w:t>Проверка регистрации попаданий между всеми типами поставленных устройств.</w:t>
      </w:r>
    </w:p>
    <w:p>
      <w:pPr>
        <w:pStyle w:val="ListNumber"/>
      </w:pPr>
      <w:r>
        <w:t>Проверка централизованного запуска и завершения игры.</w:t>
      </w:r>
    </w:p>
    <w:p>
      <w:pPr>
        <w:pStyle w:val="ListNumber"/>
      </w:pPr>
      <w:r>
        <w:t>Проверка зарядки оборудования и индикации зарядных устройств.</w:t>
      </w:r>
    </w:p>
    <w:p>
      <w:pPr>
        <w:pStyle w:val="ListNumber"/>
      </w:pPr>
      <w:r>
        <w:t>Проверка работы программного обеспечения и соединения всего комплекта.</w:t>
      </w:r>
    </w:p>
    <w:p>
      <w:pPr>
        <w:pStyle w:val="ListNumber"/>
      </w:pPr>
      <w:r>
        <w:t>Запуск не менее одного стандартного и одного дополнительного сценария, если дополнительные устройства входят в поставку.</w:t>
      </w:r>
    </w:p>
    <w:p>
      <w:pPr>
        <w:pStyle w:val="ListNumber"/>
      </w:pPr>
      <w:r>
        <w:t>Проведение тестовой игры продолжительностью не менее [___] минут с одновременным участием не менее [___] устройств.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4F4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6" w:color="D71920"/>
              <w:left w:val="single" w:sz="6" w:color="D71920"/>
              <w:bottom w:val="single" w:sz="6" w:color="D71920"/>
              <w:right w:val="single" w:sz="6" w:color="D71920"/>
            </w:tcBorders>
          </w:tcPr>
          <w:p>
            <w:r>
              <w:rPr>
                <w:b/>
                <w:color w:val="D71920"/>
              </w:rPr>
              <w:t>Критерий результата</w:t>
              <w:br/>
            </w:r>
            <w:r>
              <w:rPr>
                <w:color w:val="151A22"/>
              </w:rPr>
              <w:t>Поставка считается соответствующей требованиям, если все позиции переданы в установленном количестве, документы представлены, оборудование не имеет повреждений и весь комплект успешно прошел предусмотренную функциональную проверку.</w:t>
            </w:r>
          </w:p>
        </w:tc>
      </w:tr>
    </w:tbl>
    <w:p>
      <w:pPr>
        <w:pStyle w:val="Heading1"/>
      </w:pPr>
      <w:r>
        <w:t>11. Разделы, заполняемые заказчиком перед размещением закупки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 w:val="true"/>
        </w:trP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6"/>
              </w:rPr>
              <w:t>Проверяемый вопрос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6"/>
              </w:rPr>
              <w:t>Решение заказчика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6"/>
              </w:rPr>
              <w:t>Отметка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Выбран и проверен ОКПД2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☐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Проверена позиция КТРУ и обязательность ее применения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☐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Проверено применение Постановления № 1875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☐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Определены документы о стране происхождения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☐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Проверена обязательность документов о соответствии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☐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Проверена измеримость каждого показателя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☐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Исключены необоснованные фирменные характеристики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6"/>
              </w:rPr>
              <w:t>☐</w:t>
            </w:r>
          </w:p>
        </w:tc>
      </w:tr>
      <w:tr>
        <w:tc>
          <w:tcPr>
            <w:tcW w:type="dxa" w:w="566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Согласован порядок приемочных испытаний</w:t>
            </w:r>
          </w:p>
        </w:tc>
        <w:tc>
          <w:tcPr>
            <w:tcW w:type="dxa" w:w="3118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[Заполнить]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6"/>
              </w:rPr>
              <w:t>☐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64" w:left="113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7654"/>
      <w:gridCol w:w="1984"/>
    </w:tblGrid>
    <w:tr>
      <w:tc>
        <w:tcPr>
          <w:tcW w:type="dxa" w:w="4819"/>
          <w:tcBorders>
            <w:top w:val="single" w:sz="6" w:color="D9DEE7"/>
          </w:tcBorders>
          <w:tcMar>
            <w:top w:w="70" w:type="dxa"/>
            <w:start w:w="0" w:type="dxa"/>
            <w:bottom w:w="0" w:type="dxa"/>
            <w:end w:w="0" w:type="dxa"/>
          </w:tcMar>
        </w:tcPr>
        <w:p>
          <w:r>
            <w:rPr>
              <w:color w:val="5E6572"/>
              <w:sz w:val="15"/>
            </w:rPr>
            <w:t>Информационный материал. Требует адаптации и проверки актуальности законодательства.</w:t>
          </w:r>
        </w:p>
      </w:tc>
      <w:tc>
        <w:tcPr>
          <w:tcW w:type="dxa" w:w="4819"/>
          <w:tcBorders>
            <w:top w:val="single" w:sz="6" w:color="D9DEE7"/>
          </w:tcBorders>
          <w:tcMar>
            <w:top w:w="7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669"/>
      <w:gridCol w:w="3969"/>
    </w:tblGrid>
    <w:tr>
      <w:tc>
        <w:tcPr>
          <w:tcW w:type="dxa" w:w="4819"/>
          <w:tcBorders>
            <w:bottom w:val="single" w:sz="12" w:color="D71920"/>
          </w:tcBorders>
          <w:tcMar>
            <w:top w:w="0" w:type="dxa"/>
            <w:start w:w="0" w:type="dxa"/>
            <w:bottom w:w="70" w:type="dxa"/>
            <w:end w:w="0" w:type="dxa"/>
          </w:tcMar>
        </w:tcPr>
        <w:p>
          <w:r>
            <w:rPr>
              <w:rFonts w:ascii="Liberation Sans" w:hAnsi="Liberation Sans"/>
              <w:b/>
              <w:color w:val="151A22"/>
              <w:sz w:val="22"/>
            </w:rPr>
            <w:t>LASERWAR</w:t>
          </w:r>
          <w:r>
            <w:rPr>
              <w:color w:val="5E6572"/>
              <w:sz w:val="17"/>
            </w:rPr>
            <w:t xml:space="preserve">  |  документы для закупки по 44-ФЗ</w:t>
          </w:r>
        </w:p>
      </w:tc>
      <w:tc>
        <w:tcPr>
          <w:tcW w:type="dxa" w:w="4819"/>
          <w:tcBorders>
            <w:bottom w:val="single" w:sz="12" w:color="D71920"/>
          </w:tcBorders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>
            <w:rPr>
              <w:color w:val="D71920"/>
              <w:sz w:val="17"/>
            </w:rPr>
            <w:t>Рабочий шаблон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Liberation Sans" w:hAnsi="Liberation Sans"/>
      <w:color w:val="151A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51A2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51A2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D7192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Liberation Sans" w:hAnsi="Liberation Sans"/>
      <w:b/>
      <w:color w:val="151A22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техническая спецификация</dc:title>
  <dc:subject>Шаблоны для подготовки закупки лазертаг-оборудования по 44-ФЗ</dc:subject>
  <dc:creator>LASERWAR</dc:creator>
  <cp:keywords>44-ФЗ, лазертаг, закупка, LASERWAR,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