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Комплект документов для закупки лазертага по 223-ФЗ</w:t>
      </w:r>
    </w:p>
    <w:p>
      <w:pPr>
        <w:spacing w:after="200"/>
      </w:pPr>
      <w:r>
        <w:rPr>
          <w:rFonts w:ascii="Arial" w:hAnsi="Arial"/>
          <w:b/>
          <w:color w:val="69B34C"/>
          <w:sz w:val="23"/>
        </w:rPr>
        <w:t>Инструкция по использованию редактируемых шаблонов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EEF7E9"/>
            <w:tcBorders>
              <w:top w:sz="6" w:val="single" w:color="69B34C"/>
              <w:left w:sz="6" w:val="single" w:color="69B34C"/>
              <w:bottom w:sz="6" w:val="single" w:color="69B34C"/>
              <w:right w:sz="6" w:val="single" w:color="69B34C"/>
            </w:tcBorders>
          </w:tcPr>
          <w:p>
            <w:pPr>
              <w:spacing w:after="40"/>
            </w:pPr>
            <w:r>
              <w:rPr>
                <w:b/>
                <w:color w:val="27343A"/>
              </w:rPr>
              <w:t>Важно</w:t>
            </w:r>
          </w:p>
          <w:p>
            <w:pPr>
              <w:spacing w:after="0"/>
            </w:pPr>
            <w:r>
              <w:t>Комплект не является готовой закупочной документацией и не заменяет правовую экспертизу. Каждый файл необходимо адаптировать под актуальное положение о закупке, типовое положение (если применяется), локальные регламенты, фактическую потребность и действующие требования законодательства на дату закупки.</w:t>
            </w:r>
          </w:p>
        </w:tc>
      </w:tr>
    </w:tbl>
    <w:p>
      <w:pPr>
        <w:spacing w:after="0"/>
      </w:pPr>
    </w:p>
    <w:p>
      <w:pPr>
        <w:pStyle w:val="Heading1"/>
      </w:pPr>
      <w:r>
        <w:t>Что входит в комплект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986"/>
        <w:gridCol w:w="4986"/>
      </w:tblGrid>
      <w:tr>
        <w:trPr>
          <w:tblHeader w:val="true"/>
        </w:trPr>
        <w:tc>
          <w:tcPr>
            <w:tcW w:type="dxa" w:w="3118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Файл</w:t>
            </w:r>
          </w:p>
        </w:tc>
        <w:tc>
          <w:tcPr>
            <w:tcW w:type="dxa" w:w="6520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Назначение</w:t>
            </w:r>
          </w:p>
        </w:tc>
      </w:tr>
      <w:tr>
        <w:tc>
          <w:tcPr>
            <w:tcW w:type="dxa" w:w="3118"/>
            <w:vAlign w:val="center"/>
          </w:tcPr>
          <w:p>
            <w:r>
              <w:rPr>
                <w:sz w:val="16"/>
              </w:rPr>
              <w:t>01_Чек-лист_проверки_положения_о_закупке.docx</w:t>
            </w:r>
          </w:p>
        </w:tc>
        <w:tc>
          <w:tcPr>
            <w:tcW w:type="dxa" w:w="6520"/>
            <w:vAlign w:val="center"/>
          </w:tcPr>
          <w:p>
            <w:r>
              <w:rPr>
                <w:sz w:val="16"/>
              </w:rPr>
              <w:t>Проверка допустимых способов, оснований, порогов, НМЦД, планирования, МСП и внутренних согласований.</w:t>
            </w:r>
          </w:p>
        </w:tc>
      </w:tr>
      <w:tr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02_Запрос_коммерческого_предложения.docx</w:t>
            </w:r>
          </w:p>
        </w:tc>
        <w:tc>
          <w:tcPr>
            <w:tcW w:type="dxa" w:w="6520"/>
            <w:vAlign w:val="center"/>
            <w:shd w:fill="F8FAFA"/>
          </w:tcPr>
          <w:p>
            <w:r>
              <w:rPr>
                <w:sz w:val="16"/>
              </w:rPr>
              <w:t>Получение сопоставимой ценовой информации у производителей и поставщиков.</w:t>
            </w:r>
          </w:p>
        </w:tc>
      </w:tr>
      <w:tr>
        <w:tc>
          <w:tcPr>
            <w:tcW w:type="dxa" w:w="3118"/>
            <w:vAlign w:val="center"/>
          </w:tcPr>
          <w:p>
            <w:r>
              <w:rPr>
                <w:sz w:val="16"/>
              </w:rPr>
              <w:t>03_Рабочая_техническая_спецификация.docx</w:t>
            </w:r>
          </w:p>
        </w:tc>
        <w:tc>
          <w:tcPr>
            <w:tcW w:type="dxa" w:w="6520"/>
            <w:vAlign w:val="center"/>
          </w:tcPr>
          <w:p>
            <w:r>
              <w:rPr>
                <w:sz w:val="16"/>
              </w:rPr>
              <w:t>Описание состава, функций, совместимости, условий поставки, гарантии и приемки.</w:t>
            </w:r>
          </w:p>
        </w:tc>
      </w:tr>
      <w:tr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04_Сравнение_предложений_и_расчет_НМЦД.xlsx</w:t>
            </w:r>
          </w:p>
        </w:tc>
        <w:tc>
          <w:tcPr>
            <w:tcW w:type="dxa" w:w="6520"/>
            <w:vAlign w:val="center"/>
            <w:shd w:fill="F8FAFA"/>
          </w:tcPr>
          <w:p>
            <w:r>
              <w:rPr>
                <w:sz w:val="16"/>
              </w:rPr>
              <w:t>Свод ценовых предложений и позиционный расчет начальной максимальной цены договора.</w:t>
            </w:r>
          </w:p>
        </w:tc>
      </w:tr>
      <w:tr>
        <w:tc>
          <w:tcPr>
            <w:tcW w:type="dxa" w:w="3118"/>
            <w:vAlign w:val="center"/>
          </w:tcPr>
          <w:p>
            <w:r>
              <w:rPr>
                <w:sz w:val="16"/>
              </w:rPr>
              <w:t>05_Чек-лист_выбора_способа_закупки.docx</w:t>
            </w:r>
          </w:p>
        </w:tc>
        <w:tc>
          <w:tcPr>
            <w:tcW w:type="dxa" w:w="6520"/>
            <w:vAlign w:val="center"/>
          </w:tcPr>
          <w:p>
            <w:r>
              <w:rPr>
                <w:sz w:val="16"/>
              </w:rPr>
              <w:t>Документирование проверки оснований для конкурентной или неконкурентной закупки.</w:t>
            </w:r>
          </w:p>
        </w:tc>
      </w:tr>
      <w:tr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06_Чек-лист_приемки.docx / PDF</w:t>
            </w:r>
          </w:p>
        </w:tc>
        <w:tc>
          <w:tcPr>
            <w:tcW w:type="dxa" w:w="6520"/>
            <w:vAlign w:val="center"/>
            <w:shd w:fill="F8FAFA"/>
          </w:tcPr>
          <w:p>
            <w:r>
              <w:rPr>
                <w:sz w:val="16"/>
              </w:rPr>
              <w:t>Проверка документов, комплектности и совместной работоспособности оборудования.</w:t>
            </w:r>
          </w:p>
        </w:tc>
      </w:tr>
    </w:tbl>
    <w:p>
      <w:pPr>
        <w:pStyle w:val="Heading1"/>
      </w:pPr>
      <w:r>
        <w:t>Рекомендуемый порядок работы</w:t>
      </w:r>
    </w:p>
    <w:p>
      <w:pPr>
        <w:pStyle w:val="ListNumber"/>
      </w:pPr>
      <w:r>
        <w:t>Определите практическую потребность: количество участников, место эксплуатации, сценарии, способ управления, резерв и необходимость транспортировки.</w:t>
      </w:r>
    </w:p>
    <w:p>
      <w:pPr>
        <w:pStyle w:val="ListNumber"/>
      </w:pPr>
      <w:r>
        <w:t>Проверьте актуальную редакцию положения о закупке и при необходимости обязательное типовое положение. Зафиксируйте применимые способы, стоимостные пороги, основания для единственного поставщика и внутренние согласования.</w:t>
      </w:r>
    </w:p>
    <w:p>
      <w:pPr>
        <w:pStyle w:val="ListNumber"/>
      </w:pPr>
      <w:r>
        <w:t>Проверьте план закупки и блок закупок у субъектов МСП, если специальные правила распространяются на заказчика.</w:t>
      </w:r>
    </w:p>
    <w:p>
      <w:pPr>
        <w:pStyle w:val="ListNumber"/>
      </w:pPr>
      <w:r>
        <w:t>Адаптируйте рабочую техническую спецификацию. Оставьте только характеристики, связанные с реальной потребностью и допускающие объективную проверку.</w:t>
      </w:r>
    </w:p>
    <w:p>
      <w:pPr>
        <w:pStyle w:val="ListNumber"/>
      </w:pPr>
      <w:r>
        <w:t>Направьте одинаковый запрос коммерческого предложения нескольким поставщикам. Не меняйте состав и условия между запросами.</w:t>
      </w:r>
    </w:p>
    <w:p>
      <w:pPr>
        <w:pStyle w:val="ListNumber"/>
      </w:pPr>
      <w:r>
        <w:t>Внесите ответы в таблицу НМЦД и проверьте сопоставимость предложений по комплектности, доставке, программному обеспечению, настройке, гарантии и налогам.</w:t>
      </w:r>
    </w:p>
    <w:p>
      <w:pPr>
        <w:pStyle w:val="ListNumber"/>
      </w:pPr>
      <w:r>
        <w:t>Проверьте национальный режим по выбранным кодам ОКПД2 и каждой самостоятельной товарной позиции.</w:t>
      </w:r>
    </w:p>
    <w:p>
      <w:pPr>
        <w:pStyle w:val="ListNumber"/>
      </w:pPr>
      <w:r>
        <w:t>Закрепите в договоре комплектность, документы, настройку, инструктаж, гарантийную логистику и программу функциональной приемки.</w:t>
      </w:r>
    </w:p>
    <w:p>
      <w:pPr>
        <w:pStyle w:val="ListNumber"/>
      </w:pPr>
      <w:r>
        <w:t>При поставке используйте чек-лист приемки и фиксируйте результаты тестовой игры или иной функциональной проверки.</w:t>
      </w:r>
    </w:p>
    <w:p>
      <w:pPr>
        <w:pStyle w:val="Heading1"/>
      </w:pPr>
      <w:r>
        <w:t>Ключевая особенность 223-ФЗ</w:t>
      </w:r>
    </w:p>
    <w:p>
      <w:r>
        <w:t>Положение о закупке конкретного заказчика определяет порядок и условия применения способов закупки, правила определения и обоснования НМЦД, порядок заключения и исполнения договоров. Поэтому шаблоны специально не содержат универсальных стоимостных порогов или готового основания для закупки у единственного поставщика.</w:t>
      </w:r>
    </w:p>
    <w:p>
      <w:pPr>
        <w:pStyle w:val="Heading1"/>
      </w:pPr>
      <w:r>
        <w:t>Нормативные ориентиры</w:t>
      </w:r>
    </w:p>
    <w:p>
      <w:pPr>
        <w:pStyle w:val="ListBullet"/>
      </w:pPr>
      <w:r>
        <w:t>Федеральный закон от 18.07.2011 № 223-ФЗ: https://www.consultant.ru/document/cons_doc_LAW_116964/</w:t>
      </w:r>
    </w:p>
    <w:p>
      <w:pPr>
        <w:pStyle w:val="ListBullet"/>
      </w:pPr>
      <w:r>
        <w:t>Постановление Правительства РФ от 23.12.2024 № 1875: https://publication.pravo.gov.ru/document/0001202412250018</w:t>
      </w:r>
    </w:p>
    <w:p>
      <w:pPr>
        <w:pStyle w:val="ListBullet"/>
      </w:pPr>
      <w:r>
        <w:t>Постановление Правительства РФ от 11.12.2014 № 1352 и последующие изменения: https://publication.pravo.gov.ru/</w:t>
      </w:r>
    </w:p>
    <w:p>
      <w:pPr>
        <w:pStyle w:val="ListBullet"/>
      </w:pPr>
      <w:r>
        <w:t>Единая информационная система в сфере закупок: https://zakupki.gov.ru/</w:t>
      </w:r>
    </w:p>
    <w:p>
      <w:pPr>
        <w:pStyle w:val="SmallNote"/>
      </w:pPr>
      <w:r>
        <w:t>Дата подготовки комплекта: 31 июля 2026 года. Перед применением проверьте актуальные редакции нормативных актов и локальных документов заказчика.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20" w:right="1134" w:bottom="96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</w:pPr>
    <w:r>
      <w:t>Информационный шаблон. Требует адаптации под положение о закупке и локальные акты заказчика.</w:t>
    </w:r>
  </w:p>
  <w:p>
    <w:pPr>
      <w:jc w:val="right"/>
    </w:pPr>
    <w:r>
      <w:rPr>
        <w:sz w:val="16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  <w:pBdr>
        <w:bottom w:val="single" w:sz="6" w:space="3" w:color="D8DEE1"/>
      </w:pBdr>
    </w:pPr>
    <w:r>
      <w:rPr>
        <w:b/>
        <w:color w:val="69B34C"/>
      </w:rPr>
      <w:t>LASERWAR  |  Шаблоны для закупки лазертаг-оборудования по 223-ФЗ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color w:val="27343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27343A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2734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27343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2734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80"/>
    </w:pPr>
    <w:rPr>
      <w:rFonts w:ascii="Arial" w:hAnsi="Arial"/>
      <w:color w:val="5F696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