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Рабочая техническая спецификация</w:t>
      </w:r>
    </w:p>
    <w:p>
      <w:pPr>
        <w:spacing w:after="200"/>
      </w:pPr>
      <w:r>
        <w:rPr>
          <w:rFonts w:ascii="Arial" w:hAnsi="Arial"/>
          <w:b/>
          <w:color w:val="69B34C"/>
          <w:sz w:val="23"/>
        </w:rPr>
        <w:t>На поставку комплекта лазертаг-оборудования по 223-ФЗ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EEF7E9"/>
            <w:tcBorders>
              <w:top w:sz="6" w:val="single" w:color="69B34C"/>
              <w:left w:sz="6" w:val="single" w:color="69B34C"/>
              <w:bottom w:sz="6" w:val="single" w:color="69B34C"/>
              <w:right w:sz="6" w:val="single" w:color="69B34C"/>
            </w:tcBorders>
          </w:tcPr>
          <w:p>
            <w:pPr>
              <w:spacing w:after="40"/>
            </w:pPr>
            <w:r>
              <w:rPr>
                <w:b/>
                <w:color w:val="27343A"/>
              </w:rPr>
              <w:t>Перед использованием</w:t>
            </w:r>
          </w:p>
          <w:p>
            <w:pPr>
              <w:spacing w:after="0"/>
            </w:pPr>
            <w:r>
              <w:t>Удалите ненужные строки, заполните поля и проверьте каждое требование на связь с практической потребностью. Не оставляйте в итоговой документации подсказки, альтернативы через косую черту и незаполненные поля.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Заказчик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[Полное наименование]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Наименование закупки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Поставка комплекта оборудования для проведения игр в лазертаг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Количество участников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Не менее [___] человек одновременно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Место поставки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[Адрес]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Срок поставки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[___]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Условия эксплуатации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[Помещение / улица / смешанный режим; температура, транспортировка]</w:t>
            </w:r>
          </w:p>
        </w:tc>
      </w:tr>
    </w:tbl>
    <w:p>
      <w:pPr>
        <w:pStyle w:val="Heading1"/>
      </w:pPr>
      <w:r>
        <w:t>1. Назначение оборудования</w:t>
      </w:r>
    </w:p>
    <w:p>
      <w:r>
        <w:t>Оборудование предназначено для проведения [учебных / спортивных / военно-патриотических / корпоративных] мероприятий с одновременным участием не менее [___] человек. Поставляемые элементы должны образовывать единую совместимую систему и обеспечивать проведение мероприятия после поставки, настройки и приемки без приобретения обязательных дополнительных компонентов, не указанных в спецификации.</w:t>
      </w:r>
    </w:p>
    <w:p>
      <w:pPr>
        <w:pStyle w:val="Heading1"/>
      </w:pPr>
      <w:r>
        <w:t>2. Состав и комплектность поставки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tcW w:type="dxa" w:w="454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№</w:t>
            </w:r>
          </w:p>
        </w:tc>
        <w:tc>
          <w:tcPr>
            <w:tcW w:type="dxa" w:w="2948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Элемент</w:t>
            </w:r>
          </w:p>
        </w:tc>
        <w:tc>
          <w:tcPr>
            <w:tcW w:type="dxa" w:w="737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Ед.</w:t>
            </w:r>
          </w:p>
        </w:tc>
        <w:tc>
          <w:tcPr>
            <w:tcW w:type="dxa" w:w="907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Кол-во</w:t>
            </w:r>
          </w:p>
        </w:tc>
        <w:tc>
          <w:tcPr>
            <w:tcW w:type="dxa" w:w="4365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Требование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1</w:t>
            </w:r>
          </w:p>
        </w:tc>
        <w:tc>
          <w:tcPr>
            <w:tcW w:type="dxa" w:w="2948"/>
            <w:vAlign w:val="center"/>
          </w:tcPr>
          <w:p>
            <w:r>
              <w:rPr>
                <w:sz w:val="15"/>
              </w:rPr>
              <w:t>Игровые устройства</w:t>
            </w:r>
          </w:p>
        </w:tc>
        <w:tc>
          <w:tcPr>
            <w:tcW w:type="dxa" w:w="737"/>
            <w:vAlign w:val="center"/>
          </w:tcPr>
          <w:p>
            <w:r>
              <w:rPr>
                <w:sz w:val="15"/>
              </w:rPr>
              <w:t>шт.</w:t>
            </w:r>
          </w:p>
        </w:tc>
        <w:tc>
          <w:tcPr>
            <w:tcW w:type="dxa" w:w="90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4365"/>
            <w:vAlign w:val="center"/>
          </w:tcPr>
          <w:p>
            <w:r>
              <w:rPr>
                <w:sz w:val="15"/>
              </w:rPr>
              <w:t>Основные устройства участников</w:t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2</w:t>
            </w:r>
          </w:p>
        </w:tc>
        <w:tc>
          <w:tcPr>
            <w:tcW w:type="dxa" w:w="2948"/>
            <w:vAlign w:val="center"/>
            <w:shd w:fill="F8FAFA"/>
          </w:tcPr>
          <w:p>
            <w:r>
              <w:rPr>
                <w:sz w:val="15"/>
              </w:rPr>
              <w:t>Датчики поражения</w:t>
            </w:r>
          </w:p>
        </w:tc>
        <w:tc>
          <w:tcPr>
            <w:tcW w:type="dxa" w:w="737"/>
            <w:vAlign w:val="center"/>
            <w:shd w:fill="F8FAFA"/>
          </w:tcPr>
          <w:p>
            <w:r>
              <w:rPr>
                <w:sz w:val="15"/>
              </w:rPr>
              <w:t>компл.</w:t>
            </w:r>
          </w:p>
        </w:tc>
        <w:tc>
          <w:tcPr>
            <w:tcW w:type="dxa" w:w="90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4365"/>
            <w:vAlign w:val="center"/>
            <w:shd w:fill="F8FAFA"/>
          </w:tcPr>
          <w:p>
            <w:r>
              <w:rPr>
                <w:sz w:val="15"/>
              </w:rPr>
              <w:t>Не менее [___] датчиков на участника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3</w:t>
            </w:r>
          </w:p>
        </w:tc>
        <w:tc>
          <w:tcPr>
            <w:tcW w:type="dxa" w:w="2948"/>
            <w:vAlign w:val="center"/>
          </w:tcPr>
          <w:p>
            <w:r>
              <w:rPr>
                <w:sz w:val="15"/>
              </w:rPr>
              <w:t>Зарядное оборудование</w:t>
            </w:r>
          </w:p>
        </w:tc>
        <w:tc>
          <w:tcPr>
            <w:tcW w:type="dxa" w:w="737"/>
            <w:vAlign w:val="center"/>
          </w:tcPr>
          <w:p>
            <w:r>
              <w:rPr>
                <w:sz w:val="15"/>
              </w:rPr>
              <w:t>компл.</w:t>
            </w:r>
          </w:p>
        </w:tc>
        <w:tc>
          <w:tcPr>
            <w:tcW w:type="dxa" w:w="90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4365"/>
            <w:vAlign w:val="center"/>
          </w:tcPr>
          <w:p>
            <w:r>
              <w:rPr>
                <w:sz w:val="15"/>
              </w:rPr>
              <w:t>Одновременная зарядка не менее [___] устройств</w:t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4</w:t>
            </w:r>
          </w:p>
        </w:tc>
        <w:tc>
          <w:tcPr>
            <w:tcW w:type="dxa" w:w="2948"/>
            <w:vAlign w:val="center"/>
            <w:shd w:fill="F8FAFA"/>
          </w:tcPr>
          <w:p>
            <w:r>
              <w:rPr>
                <w:sz w:val="15"/>
              </w:rPr>
              <w:t>Управляющее оборудование</w:t>
            </w:r>
          </w:p>
        </w:tc>
        <w:tc>
          <w:tcPr>
            <w:tcW w:type="dxa" w:w="737"/>
            <w:vAlign w:val="center"/>
            <w:shd w:fill="F8FAFA"/>
          </w:tcPr>
          <w:p>
            <w:r>
              <w:rPr>
                <w:sz w:val="15"/>
              </w:rPr>
              <w:t>компл.</w:t>
            </w:r>
          </w:p>
        </w:tc>
        <w:tc>
          <w:tcPr>
            <w:tcW w:type="dxa" w:w="90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4365"/>
            <w:vAlign w:val="center"/>
            <w:shd w:fill="F8FAFA"/>
          </w:tcPr>
          <w:p>
            <w:r>
              <w:rPr>
                <w:sz w:val="15"/>
              </w:rPr>
              <w:t>[Пульт / планшет / маршрутизатор / иное]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5</w:t>
            </w:r>
          </w:p>
        </w:tc>
        <w:tc>
          <w:tcPr>
            <w:tcW w:type="dxa" w:w="2948"/>
            <w:vAlign w:val="center"/>
          </w:tcPr>
          <w:p>
            <w:r>
              <w:rPr>
                <w:sz w:val="15"/>
              </w:rPr>
              <w:t>Программное обеспечение</w:t>
            </w:r>
          </w:p>
        </w:tc>
        <w:tc>
          <w:tcPr>
            <w:tcW w:type="dxa" w:w="737"/>
            <w:vAlign w:val="center"/>
          </w:tcPr>
          <w:p>
            <w:r>
              <w:rPr>
                <w:sz w:val="15"/>
              </w:rPr>
              <w:t>лиц.</w:t>
            </w:r>
          </w:p>
        </w:tc>
        <w:tc>
          <w:tcPr>
            <w:tcW w:type="dxa" w:w="90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4365"/>
            <w:vAlign w:val="center"/>
          </w:tcPr>
          <w:p>
            <w:r>
              <w:rPr>
                <w:sz w:val="15"/>
              </w:rPr>
              <w:t>[Бессрочная / срок не менее ___ месяцев]</w:t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6</w:t>
            </w:r>
          </w:p>
        </w:tc>
        <w:tc>
          <w:tcPr>
            <w:tcW w:type="dxa" w:w="2948"/>
            <w:vAlign w:val="center"/>
            <w:shd w:fill="F8FAFA"/>
          </w:tcPr>
          <w:p>
            <w:r>
              <w:rPr>
                <w:sz w:val="15"/>
              </w:rPr>
              <w:t>Дополнительные игровые устройства</w:t>
            </w:r>
          </w:p>
        </w:tc>
        <w:tc>
          <w:tcPr>
            <w:tcW w:type="dxa" w:w="737"/>
            <w:vAlign w:val="center"/>
            <w:shd w:fill="F8FAFA"/>
          </w:tcPr>
          <w:p>
            <w:r>
              <w:rPr>
                <w:sz w:val="15"/>
              </w:rPr>
              <w:t>шт.</w:t>
            </w:r>
          </w:p>
        </w:tc>
        <w:tc>
          <w:tcPr>
            <w:tcW w:type="dxa" w:w="90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4365"/>
            <w:vAlign w:val="center"/>
            <w:shd w:fill="F8FAFA"/>
          </w:tcPr>
          <w:p>
            <w:r>
              <w:rPr>
                <w:sz w:val="15"/>
              </w:rPr>
              <w:t>[Сценарные устройства]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7</w:t>
            </w:r>
          </w:p>
        </w:tc>
        <w:tc>
          <w:tcPr>
            <w:tcW w:type="dxa" w:w="2948"/>
            <w:vAlign w:val="center"/>
          </w:tcPr>
          <w:p>
            <w:r>
              <w:rPr>
                <w:sz w:val="15"/>
              </w:rPr>
              <w:t>Кейсы / сумки / упаковка</w:t>
            </w:r>
          </w:p>
        </w:tc>
        <w:tc>
          <w:tcPr>
            <w:tcW w:type="dxa" w:w="737"/>
            <w:vAlign w:val="center"/>
          </w:tcPr>
          <w:p>
            <w:r>
              <w:rPr>
                <w:sz w:val="15"/>
              </w:rPr>
              <w:t>компл.</w:t>
            </w:r>
          </w:p>
        </w:tc>
        <w:tc>
          <w:tcPr>
            <w:tcW w:type="dxa" w:w="90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4365"/>
            <w:vAlign w:val="center"/>
          </w:tcPr>
          <w:p>
            <w:r>
              <w:rPr>
                <w:sz w:val="15"/>
              </w:rPr>
              <w:t>Для хранения и транспортировки</w:t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8</w:t>
            </w:r>
          </w:p>
        </w:tc>
        <w:tc>
          <w:tcPr>
            <w:tcW w:type="dxa" w:w="2948"/>
            <w:vAlign w:val="center"/>
            <w:shd w:fill="F8FAFA"/>
          </w:tcPr>
          <w:p>
            <w:r>
              <w:rPr>
                <w:sz w:val="15"/>
              </w:rPr>
              <w:t>Кабели, блоки питания, крепления</w:t>
            </w:r>
          </w:p>
        </w:tc>
        <w:tc>
          <w:tcPr>
            <w:tcW w:type="dxa" w:w="737"/>
            <w:vAlign w:val="center"/>
            <w:shd w:fill="F8FAFA"/>
          </w:tcPr>
          <w:p>
            <w:r>
              <w:rPr>
                <w:sz w:val="15"/>
              </w:rPr>
              <w:t>компл.</w:t>
            </w:r>
          </w:p>
        </w:tc>
        <w:tc>
          <w:tcPr>
            <w:tcW w:type="dxa" w:w="907"/>
            <w:vAlign w:val="center"/>
            <w:shd w:fill="F8FAFA"/>
          </w:tcPr>
          <w:p>
            <w:r>
              <w:rPr>
                <w:sz w:val="15"/>
              </w:rPr>
              <w:t>1</w:t>
            </w:r>
          </w:p>
        </w:tc>
        <w:tc>
          <w:tcPr>
            <w:tcW w:type="dxa" w:w="4365"/>
            <w:vAlign w:val="center"/>
            <w:shd w:fill="F8FAFA"/>
          </w:tcPr>
          <w:p>
            <w:r>
              <w:rPr>
                <w:sz w:val="15"/>
              </w:rPr>
              <w:t>Полный комплект для запуска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9</w:t>
            </w:r>
          </w:p>
        </w:tc>
        <w:tc>
          <w:tcPr>
            <w:tcW w:type="dxa" w:w="2948"/>
            <w:vAlign w:val="center"/>
          </w:tcPr>
          <w:p>
            <w:r>
              <w:rPr>
                <w:sz w:val="15"/>
              </w:rPr>
              <w:t>Документация, настройка, инструктаж</w:t>
            </w:r>
          </w:p>
        </w:tc>
        <w:tc>
          <w:tcPr>
            <w:tcW w:type="dxa" w:w="737"/>
            <w:vAlign w:val="center"/>
          </w:tcPr>
          <w:p>
            <w:r>
              <w:rPr>
                <w:sz w:val="15"/>
              </w:rPr>
              <w:t>компл.</w:t>
            </w:r>
          </w:p>
        </w:tc>
        <w:tc>
          <w:tcPr>
            <w:tcW w:type="dxa" w:w="907"/>
            <w:vAlign w:val="center"/>
          </w:tcPr>
          <w:p>
            <w:r>
              <w:rPr>
                <w:sz w:val="15"/>
              </w:rPr>
              <w:t>1</w:t>
            </w:r>
          </w:p>
        </w:tc>
        <w:tc>
          <w:tcPr>
            <w:tcW w:type="dxa" w:w="4365"/>
            <w:vAlign w:val="center"/>
          </w:tcPr>
          <w:p>
            <w:r>
              <w:rPr>
                <w:sz w:val="15"/>
              </w:rPr>
              <w:t>В соответствии с разделами 7-9</w:t>
            </w:r>
          </w:p>
        </w:tc>
      </w:tr>
    </w:tbl>
    <w:p>
      <w:pPr>
        <w:pStyle w:val="Heading1"/>
      </w:pPr>
      <w:r>
        <w:t>3. Игровые устройства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rPr>
          <w:tblHeader w:val="true"/>
        </w:trPr>
        <w:tc>
          <w:tcPr>
            <w:tcW w:type="dxa" w:w="2551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Показатель</w:t>
            </w:r>
          </w:p>
        </w:tc>
        <w:tc>
          <w:tcPr>
            <w:tcW w:type="dxa" w:w="4252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Требование</w:t>
            </w:r>
          </w:p>
        </w:tc>
        <w:tc>
          <w:tcPr>
            <w:tcW w:type="dxa" w:w="2835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Способ проверки</w:t>
            </w:r>
          </w:p>
        </w:tc>
      </w:tr>
      <w:tr>
        <w:tc>
          <w:tcPr>
            <w:tcW w:type="dxa" w:w="2551"/>
            <w:vAlign w:val="center"/>
          </w:tcPr>
          <w:p>
            <w:r>
              <w:rPr>
                <w:sz w:val="16"/>
              </w:rPr>
              <w:t>Регистрация игрового взаимодействия</w:t>
            </w:r>
          </w:p>
        </w:tc>
        <w:tc>
          <w:tcPr>
            <w:tcW w:type="dxa" w:w="4252"/>
            <w:vAlign w:val="center"/>
          </w:tcPr>
          <w:p>
            <w:r>
              <w:rPr>
                <w:sz w:val="16"/>
              </w:rPr>
              <w:t>[Описание требуемого принципа без привязки к бренду]</w:t>
            </w:r>
          </w:p>
        </w:tc>
        <w:tc>
          <w:tcPr>
            <w:tcW w:type="dxa" w:w="2835"/>
            <w:vAlign w:val="center"/>
          </w:tcPr>
          <w:p>
            <w:r>
              <w:rPr>
                <w:sz w:val="16"/>
              </w:rPr>
              <w:t>Тестовая игра / демонстрация</w:t>
            </w:r>
          </w:p>
        </w:tc>
      </w:tr>
      <w:tr>
        <w:tc>
          <w:tcPr>
            <w:tcW w:type="dxa" w:w="2551"/>
            <w:vAlign w:val="center"/>
            <w:shd w:fill="F8FAFA"/>
          </w:tcPr>
          <w:p>
            <w:r>
              <w:rPr>
                <w:sz w:val="16"/>
              </w:rPr>
              <w:t>Дальность</w:t>
            </w:r>
          </w:p>
        </w:tc>
        <w:tc>
          <w:tcPr>
            <w:tcW w:type="dxa" w:w="4252"/>
            <w:vAlign w:val="center"/>
            <w:shd w:fill="F8FAFA"/>
          </w:tcPr>
          <w:p>
            <w:r>
              <w:rPr>
                <w:sz w:val="16"/>
              </w:rPr>
              <w:t>Не менее [___] м при установленных условиях</w:t>
            </w:r>
          </w:p>
        </w:tc>
        <w:tc>
          <w:tcPr>
            <w:tcW w:type="dxa" w:w="2835"/>
            <w:vAlign w:val="center"/>
            <w:shd w:fill="F8FAFA"/>
          </w:tcPr>
          <w:p>
            <w:r>
              <w:rPr>
                <w:sz w:val="16"/>
              </w:rPr>
              <w:t>Испытание на измеренной дистанции</w:t>
            </w:r>
          </w:p>
        </w:tc>
      </w:tr>
      <w:tr>
        <w:tc>
          <w:tcPr>
            <w:tcW w:type="dxa" w:w="2551"/>
            <w:vAlign w:val="center"/>
          </w:tcPr>
          <w:p>
            <w:r>
              <w:rPr>
                <w:sz w:val="16"/>
              </w:rPr>
              <w:t>Количество команд</w:t>
            </w:r>
          </w:p>
        </w:tc>
        <w:tc>
          <w:tcPr>
            <w:tcW w:type="dxa" w:w="4252"/>
            <w:vAlign w:val="center"/>
          </w:tcPr>
          <w:p>
            <w:r>
              <w:rPr>
                <w:sz w:val="16"/>
              </w:rPr>
              <w:t>Не менее [___]</w:t>
            </w:r>
          </w:p>
        </w:tc>
        <w:tc>
          <w:tcPr>
            <w:tcW w:type="dxa" w:w="2835"/>
            <w:vAlign w:val="center"/>
          </w:tcPr>
          <w:p>
            <w:r>
              <w:rPr>
                <w:sz w:val="16"/>
              </w:rPr>
              <w:t>Настройка через систему управления</w:t>
            </w:r>
          </w:p>
        </w:tc>
      </w:tr>
      <w:tr>
        <w:tc>
          <w:tcPr>
            <w:tcW w:type="dxa" w:w="2551"/>
            <w:vAlign w:val="center"/>
            <w:shd w:fill="F8FAFA"/>
          </w:tcPr>
          <w:p>
            <w:r>
              <w:rPr>
                <w:sz w:val="16"/>
              </w:rPr>
              <w:t>Автономная работа</w:t>
            </w:r>
          </w:p>
        </w:tc>
        <w:tc>
          <w:tcPr>
            <w:tcW w:type="dxa" w:w="4252"/>
            <w:vAlign w:val="center"/>
            <w:shd w:fill="F8FAFA"/>
          </w:tcPr>
          <w:p>
            <w:r>
              <w:rPr>
                <w:sz w:val="16"/>
              </w:rPr>
              <w:t>Не менее [___] часов</w:t>
            </w:r>
          </w:p>
        </w:tc>
        <w:tc>
          <w:tcPr>
            <w:tcW w:type="dxa" w:w="2835"/>
            <w:vAlign w:val="center"/>
            <w:shd w:fill="F8FAFA"/>
          </w:tcPr>
          <w:p>
            <w:r>
              <w:rPr>
                <w:sz w:val="16"/>
              </w:rPr>
              <w:t>Документация и/или контрольный тест</w:t>
            </w:r>
          </w:p>
        </w:tc>
      </w:tr>
      <w:tr>
        <w:tc>
          <w:tcPr>
            <w:tcW w:type="dxa" w:w="2551"/>
            <w:vAlign w:val="center"/>
          </w:tcPr>
          <w:p>
            <w:r>
              <w:rPr>
                <w:sz w:val="16"/>
              </w:rPr>
              <w:t>Масса</w:t>
            </w:r>
          </w:p>
        </w:tc>
        <w:tc>
          <w:tcPr>
            <w:tcW w:type="dxa" w:w="4252"/>
            <w:vAlign w:val="center"/>
          </w:tcPr>
          <w:p>
            <w:r>
              <w:rPr>
                <w:sz w:val="16"/>
              </w:rPr>
              <w:t>Не более [___] кг</w:t>
            </w:r>
          </w:p>
        </w:tc>
        <w:tc>
          <w:tcPr>
            <w:tcW w:type="dxa" w:w="2835"/>
            <w:vAlign w:val="center"/>
          </w:tcPr>
          <w:p>
            <w:r>
              <w:rPr>
                <w:sz w:val="16"/>
              </w:rPr>
              <w:t>Взвешивание</w:t>
            </w:r>
          </w:p>
        </w:tc>
      </w:tr>
      <w:tr>
        <w:tc>
          <w:tcPr>
            <w:tcW w:type="dxa" w:w="2551"/>
            <w:vAlign w:val="center"/>
            <w:shd w:fill="F8FAFA"/>
          </w:tcPr>
          <w:p>
            <w:r>
              <w:rPr>
                <w:sz w:val="16"/>
              </w:rPr>
              <w:t>Индикация</w:t>
            </w:r>
          </w:p>
        </w:tc>
        <w:tc>
          <w:tcPr>
            <w:tcW w:type="dxa" w:w="4252"/>
            <w:vAlign w:val="center"/>
            <w:shd w:fill="F8FAFA"/>
          </w:tcPr>
          <w:p>
            <w:r>
              <w:rPr>
                <w:sz w:val="16"/>
              </w:rPr>
              <w:t>[Световая / звуковая / вибрационная]</w:t>
            </w:r>
          </w:p>
        </w:tc>
        <w:tc>
          <w:tcPr>
            <w:tcW w:type="dxa" w:w="2835"/>
            <w:vAlign w:val="center"/>
            <w:shd w:fill="F8FAFA"/>
          </w:tcPr>
          <w:p>
            <w:r>
              <w:rPr>
                <w:sz w:val="16"/>
              </w:rPr>
              <w:t>Функциональная проверка</w:t>
            </w:r>
          </w:p>
        </w:tc>
      </w:tr>
      <w:tr>
        <w:tc>
          <w:tcPr>
            <w:tcW w:type="dxa" w:w="2551"/>
            <w:vAlign w:val="center"/>
          </w:tcPr>
          <w:p>
            <w:r>
              <w:rPr>
                <w:sz w:val="16"/>
              </w:rPr>
              <w:t>Изменение параметров</w:t>
            </w:r>
          </w:p>
        </w:tc>
        <w:tc>
          <w:tcPr>
            <w:tcW w:type="dxa" w:w="4252"/>
            <w:vAlign w:val="center"/>
          </w:tcPr>
          <w:p>
            <w:r>
              <w:rPr>
                <w:sz w:val="16"/>
              </w:rPr>
              <w:t>[Перечень доступных параметров]</w:t>
            </w:r>
          </w:p>
        </w:tc>
        <w:tc>
          <w:tcPr>
            <w:tcW w:type="dxa" w:w="2835"/>
            <w:vAlign w:val="center"/>
          </w:tcPr>
          <w:p>
            <w:r>
              <w:rPr>
                <w:sz w:val="16"/>
              </w:rPr>
              <w:t>Настройка и запуск</w:t>
            </w:r>
          </w:p>
        </w:tc>
      </w:tr>
      <w:tr>
        <w:tc>
          <w:tcPr>
            <w:tcW w:type="dxa" w:w="2551"/>
            <w:vAlign w:val="center"/>
            <w:shd w:fill="F8FAFA"/>
          </w:tcPr>
          <w:p>
            <w:r>
              <w:rPr>
                <w:sz w:val="16"/>
              </w:rPr>
              <w:t>Условия эксплуатации</w:t>
            </w:r>
          </w:p>
        </w:tc>
        <w:tc>
          <w:tcPr>
            <w:tcW w:type="dxa" w:w="4252"/>
            <w:vAlign w:val="center"/>
            <w:shd w:fill="F8FAFA"/>
          </w:tcPr>
          <w:p>
            <w:r>
              <w:rPr>
                <w:sz w:val="16"/>
              </w:rPr>
              <w:t>От [___] до [___] °C; [иные требования]</w:t>
            </w:r>
          </w:p>
        </w:tc>
        <w:tc>
          <w:tcPr>
            <w:tcW w:type="dxa" w:w="2835"/>
            <w:vAlign w:val="center"/>
            <w:shd w:fill="F8FAFA"/>
          </w:tcPr>
          <w:p>
            <w:r>
              <w:rPr>
                <w:sz w:val="16"/>
              </w:rPr>
              <w:t>Документация / маркировка</w:t>
            </w:r>
          </w:p>
        </w:tc>
      </w:tr>
    </w:tbl>
    <w:p>
      <w:pPr>
        <w:pStyle w:val="Heading1"/>
      </w:pPr>
      <w:r>
        <w:t>4. Датчики поражения</w:t>
      </w:r>
    </w:p>
    <w:p>
      <w:pPr>
        <w:ind w:left="227" w:hanging="227"/>
      </w:pPr>
      <w:r>
        <w:rPr>
          <w:b/>
        </w:rPr>
        <w:t xml:space="preserve">☐ </w:t>
      </w:r>
      <w:r>
        <w:t>количество датчиков на одного участника: не менее [___];</w:t>
      </w:r>
    </w:p>
    <w:p>
      <w:pPr>
        <w:ind w:left="227" w:hanging="227"/>
      </w:pPr>
      <w:r>
        <w:rPr>
          <w:b/>
        </w:rPr>
        <w:t xml:space="preserve">☐ </w:t>
      </w:r>
      <w:r>
        <w:t>способ крепления: [оголовье / жилет / комбинированный];</w:t>
      </w:r>
    </w:p>
    <w:p>
      <w:pPr>
        <w:ind w:left="227" w:hanging="227"/>
      </w:pPr>
      <w:r>
        <w:rPr>
          <w:b/>
        </w:rPr>
        <w:t xml:space="preserve">☐ </w:t>
      </w:r>
      <w:r>
        <w:t>регулировка размера и надежная фиксация;</w:t>
      </w:r>
    </w:p>
    <w:p>
      <w:pPr>
        <w:ind w:left="227" w:hanging="227"/>
      </w:pPr>
      <w:r>
        <w:rPr>
          <w:b/>
        </w:rPr>
        <w:t xml:space="preserve">☐ </w:t>
      </w:r>
      <w:r>
        <w:t>световая, звуковая и/или вибрационная индикация;</w:t>
      </w:r>
    </w:p>
    <w:p>
      <w:pPr>
        <w:ind w:left="227" w:hanging="227"/>
      </w:pPr>
      <w:r>
        <w:rPr>
          <w:b/>
        </w:rPr>
        <w:t xml:space="preserve">☐ </w:t>
      </w:r>
      <w:r>
        <w:t>автономная работа не менее [___] часов;</w:t>
      </w:r>
    </w:p>
    <w:p>
      <w:pPr>
        <w:ind w:left="227" w:hanging="227"/>
      </w:pPr>
      <w:r>
        <w:rPr>
          <w:b/>
        </w:rPr>
        <w:t xml:space="preserve">☐ </w:t>
      </w:r>
      <w:r>
        <w:t>устойчивое соединение с игровым устройством;</w:t>
      </w:r>
    </w:p>
    <w:p>
      <w:pPr>
        <w:ind w:left="227" w:hanging="227"/>
      </w:pPr>
      <w:r>
        <w:rPr>
          <w:b/>
        </w:rPr>
        <w:t xml:space="preserve">☐ </w:t>
      </w:r>
      <w:r>
        <w:t>одновременная работа всего поставляемого комплекта.</w:t>
      </w:r>
    </w:p>
    <w:p>
      <w:pPr>
        <w:pStyle w:val="Heading1"/>
      </w:pPr>
      <w:r>
        <w:t>5. Зарядное оборудование</w:t>
      </w:r>
    </w:p>
    <w:p>
      <w:pPr>
        <w:ind w:left="227" w:hanging="227"/>
      </w:pPr>
      <w:r>
        <w:rPr>
          <w:b/>
        </w:rPr>
        <w:t xml:space="preserve">☐ </w:t>
      </w:r>
      <w:r>
        <w:t>одновременная зарядка не менее [___] игровых устройств и/или датчиков;</w:t>
      </w:r>
    </w:p>
    <w:p>
      <w:pPr>
        <w:ind w:left="227" w:hanging="227"/>
      </w:pPr>
      <w:r>
        <w:rPr>
          <w:b/>
        </w:rPr>
        <w:t xml:space="preserve">☐ </w:t>
      </w:r>
      <w:r>
        <w:t>наличие всех кабелей, переходников, блоков питания и сетевых шнуров;</w:t>
      </w:r>
    </w:p>
    <w:p>
      <w:pPr>
        <w:ind w:left="227" w:hanging="227"/>
      </w:pPr>
      <w:r>
        <w:rPr>
          <w:b/>
        </w:rPr>
        <w:t xml:space="preserve">☐ </w:t>
      </w:r>
      <w:r>
        <w:t>индикация процесса зарядки и/или завершения зарядки;</w:t>
      </w:r>
    </w:p>
    <w:p>
      <w:pPr>
        <w:ind w:left="227" w:hanging="227"/>
      </w:pPr>
      <w:r>
        <w:rPr>
          <w:b/>
        </w:rPr>
        <w:t xml:space="preserve">☐ </w:t>
      </w:r>
      <w:r>
        <w:t>подключение к сети [220 В, 50 Гц / иное];</w:t>
      </w:r>
    </w:p>
    <w:p>
      <w:pPr>
        <w:ind w:left="227" w:hanging="227"/>
      </w:pPr>
      <w:r>
        <w:rPr>
          <w:b/>
        </w:rPr>
        <w:t xml:space="preserve">☐ </w:t>
      </w:r>
      <w:r>
        <w:t>конструкция и инструкция должны обеспечивать безопасную эксплуатацию в помещении заказчика.</w:t>
      </w:r>
    </w:p>
    <w:p>
      <w:pPr>
        <w:pStyle w:val="Heading1"/>
      </w:pPr>
      <w:r>
        <w:t>6. Управление и программное обеспечение</w:t>
      </w:r>
    </w:p>
    <w:p>
      <w:pPr>
        <w:ind w:left="227" w:hanging="227"/>
      </w:pPr>
      <w:r>
        <w:rPr>
          <w:b/>
        </w:rPr>
        <w:t xml:space="preserve">☐ </w:t>
      </w:r>
      <w:r>
        <w:t>создание и изменение команд;</w:t>
      </w:r>
    </w:p>
    <w:p>
      <w:pPr>
        <w:ind w:left="227" w:hanging="227"/>
      </w:pPr>
      <w:r>
        <w:rPr>
          <w:b/>
        </w:rPr>
        <w:t xml:space="preserve">☐ </w:t>
      </w:r>
      <w:r>
        <w:t>централизованный запуск и завершение игры;</w:t>
      </w:r>
    </w:p>
    <w:p>
      <w:pPr>
        <w:ind w:left="227" w:hanging="227"/>
      </w:pPr>
      <w:r>
        <w:rPr>
          <w:b/>
        </w:rPr>
        <w:t xml:space="preserve">☐ </w:t>
      </w:r>
      <w:r>
        <w:t>изменение количества игровых ресурсов, продолжительности и иных параметров;</w:t>
      </w:r>
    </w:p>
    <w:p>
      <w:pPr>
        <w:ind w:left="227" w:hanging="227"/>
      </w:pPr>
      <w:r>
        <w:rPr>
          <w:b/>
        </w:rPr>
        <w:t xml:space="preserve">☐ </w:t>
      </w:r>
      <w:r>
        <w:t>выбор и настройка сценариев;</w:t>
      </w:r>
    </w:p>
    <w:p>
      <w:pPr>
        <w:ind w:left="227" w:hanging="227"/>
      </w:pPr>
      <w:r>
        <w:rPr>
          <w:b/>
        </w:rPr>
        <w:t xml:space="preserve">☐ </w:t>
      </w:r>
      <w:r>
        <w:t>отображение состояния подключенных устройств;</w:t>
      </w:r>
    </w:p>
    <w:p>
      <w:pPr>
        <w:ind w:left="227" w:hanging="227"/>
      </w:pPr>
      <w:r>
        <w:rPr>
          <w:b/>
        </w:rPr>
        <w:t xml:space="preserve">☐ </w:t>
      </w:r>
      <w:r>
        <w:t>получение и/или сохранение результатов и статистики;</w:t>
      </w:r>
    </w:p>
    <w:p>
      <w:pPr>
        <w:ind w:left="227" w:hanging="227"/>
      </w:pPr>
      <w:r>
        <w:rPr>
          <w:b/>
        </w:rPr>
        <w:t xml:space="preserve">☐ </w:t>
      </w:r>
      <w:r>
        <w:t>управление дополнительными игровыми устройствами;</w:t>
      </w:r>
    </w:p>
    <w:p>
      <w:pPr>
        <w:ind w:left="227" w:hanging="227"/>
      </w:pPr>
      <w:r>
        <w:rPr>
          <w:b/>
        </w:rPr>
        <w:t xml:space="preserve">☐ </w:t>
      </w:r>
      <w:r>
        <w:t>работа на [планшете / смартфоне / компьютере / специальном пульте];</w:t>
      </w:r>
    </w:p>
    <w:p>
      <w:pPr>
        <w:ind w:left="227" w:hanging="227"/>
      </w:pPr>
      <w:r>
        <w:rPr>
          <w:b/>
        </w:rPr>
        <w:t xml:space="preserve">☐ </w:t>
      </w:r>
      <w:r>
        <w:t>лицензия предоставляется на срок [___];</w:t>
      </w:r>
    </w:p>
    <w:p>
      <w:pPr>
        <w:ind w:left="227" w:hanging="227"/>
      </w:pPr>
      <w:r>
        <w:rPr>
          <w:b/>
        </w:rPr>
        <w:t xml:space="preserve">☐ </w:t>
      </w:r>
      <w:r>
        <w:t>обязательная подписка [не допускается / допускается при включении в цену на ___ месяцев];</w:t>
      </w:r>
    </w:p>
    <w:p>
      <w:pPr>
        <w:ind w:left="227" w:hanging="227"/>
      </w:pPr>
      <w:r>
        <w:rPr>
          <w:b/>
        </w:rPr>
        <w:t xml:space="preserve">☐ </w:t>
      </w:r>
      <w:r>
        <w:t>постоянный доступ в интернет [не требуется / требуется с указанием причин].</w:t>
      </w:r>
    </w:p>
    <w:p>
      <w:pPr>
        <w:pStyle w:val="Heading1"/>
      </w:pPr>
      <w:r>
        <w:t>7. Совместимость и готовность к эксплуатации</w:t>
      </w:r>
    </w:p>
    <w:p>
      <w:r>
        <w:t>Игровые устройства, датчики поражения, зарядное оборудование, управляющее программное обеспечение и дополнительные игровые устройства должны быть взаимно совместимы и обеспечивать одновременную работу всего поставляемого комплекта.</w:t>
      </w:r>
    </w:p>
    <w:p>
      <w:pPr>
        <w:ind w:left="227" w:hanging="227"/>
      </w:pPr>
      <w:r>
        <w:rPr>
          <w:b/>
        </w:rPr>
        <w:t xml:space="preserve">☐ </w:t>
      </w:r>
      <w:r>
        <w:t>в поставку входят аккумуляторы, крепления, кабели, блоки питания и иные обязательные компоненты;</w:t>
      </w:r>
    </w:p>
    <w:p>
      <w:pPr>
        <w:ind w:left="227" w:hanging="227"/>
      </w:pPr>
      <w:r>
        <w:rPr>
          <w:b/>
        </w:rPr>
        <w:t xml:space="preserve">☐ </w:t>
      </w:r>
      <w:r>
        <w:t>после настройки комплект готов к тестовой игре без обязательных дополнительных закупок;</w:t>
      </w:r>
    </w:p>
    <w:p>
      <w:pPr>
        <w:ind w:left="227" w:hanging="227"/>
      </w:pPr>
      <w:r>
        <w:rPr>
          <w:b/>
        </w:rPr>
        <w:t xml:space="preserve">☐ </w:t>
      </w:r>
      <w:r>
        <w:t>при расширении действующей системы обеспечивается совместимость с: [перечень имеющегося оборудования, ПО и идентификационные сведения];</w:t>
      </w:r>
    </w:p>
    <w:p>
      <w:pPr>
        <w:ind w:left="227" w:hanging="227"/>
      </w:pPr>
      <w:r>
        <w:rPr>
          <w:b/>
        </w:rPr>
        <w:t xml:space="preserve">☐ </w:t>
      </w:r>
      <w:r>
        <w:t>требование совместимости подтверждено отдельным техническим обоснованием, если оно ограничивает эквивалентность.</w:t>
      </w:r>
    </w:p>
    <w:p>
      <w:pPr>
        <w:pStyle w:val="Heading1"/>
      </w:pPr>
      <w:r>
        <w:t>8. Условия поставки и документы</w:t>
      </w:r>
    </w:p>
    <w:p>
      <w:pPr>
        <w:ind w:left="227" w:hanging="227"/>
      </w:pPr>
      <w:r>
        <w:rPr>
          <w:b/>
        </w:rPr>
        <w:t xml:space="preserve">☐ </w:t>
      </w:r>
      <w:r>
        <w:t>доставка и разгрузка по адресу заказчика;</w:t>
      </w:r>
    </w:p>
    <w:p>
      <w:pPr>
        <w:ind w:left="227" w:hanging="227"/>
      </w:pPr>
      <w:r>
        <w:rPr>
          <w:b/>
        </w:rPr>
        <w:t xml:space="preserve">☐ </w:t>
      </w:r>
      <w:r>
        <w:t>упаковка, исключающая повреждение при транспортировке;</w:t>
      </w:r>
    </w:p>
    <w:p>
      <w:pPr>
        <w:ind w:left="227" w:hanging="227"/>
      </w:pPr>
      <w:r>
        <w:rPr>
          <w:b/>
        </w:rPr>
        <w:t xml:space="preserve">☐ </w:t>
      </w:r>
      <w:r>
        <w:t>накладная или УПД;</w:t>
      </w:r>
    </w:p>
    <w:p>
      <w:pPr>
        <w:ind w:left="227" w:hanging="227"/>
      </w:pPr>
      <w:r>
        <w:rPr>
          <w:b/>
        </w:rPr>
        <w:t xml:space="preserve">☐ </w:t>
      </w:r>
      <w:r>
        <w:t>паспорта / формуляры изделий;</w:t>
      </w:r>
    </w:p>
    <w:p>
      <w:pPr>
        <w:ind w:left="227" w:hanging="227"/>
      </w:pPr>
      <w:r>
        <w:rPr>
          <w:b/>
        </w:rPr>
        <w:t xml:space="preserve">☐ </w:t>
      </w:r>
      <w:r>
        <w:t>руководства по эксплуатации на русском языке;</w:t>
      </w:r>
    </w:p>
    <w:p>
      <w:pPr>
        <w:ind w:left="227" w:hanging="227"/>
      </w:pPr>
      <w:r>
        <w:rPr>
          <w:b/>
        </w:rPr>
        <w:t xml:space="preserve">☐ </w:t>
      </w:r>
      <w:r>
        <w:t>гарантийные документы;</w:t>
      </w:r>
    </w:p>
    <w:p>
      <w:pPr>
        <w:ind w:left="227" w:hanging="227"/>
      </w:pPr>
      <w:r>
        <w:rPr>
          <w:b/>
        </w:rPr>
        <w:t xml:space="preserve">☐ </w:t>
      </w:r>
      <w:r>
        <w:t>перечень серийных номеров;</w:t>
      </w:r>
    </w:p>
    <w:p>
      <w:pPr>
        <w:ind w:left="227" w:hanging="227"/>
      </w:pPr>
      <w:r>
        <w:rPr>
          <w:b/>
        </w:rPr>
        <w:t xml:space="preserve">☐ </w:t>
      </w:r>
      <w:r>
        <w:t>документы о соответствии, если они обязательны для конкретной продукции;</w:t>
      </w:r>
    </w:p>
    <w:p>
      <w:pPr>
        <w:ind w:left="227" w:hanging="227"/>
      </w:pPr>
      <w:r>
        <w:rPr>
          <w:b/>
        </w:rPr>
        <w:t xml:space="preserve">☐ </w:t>
      </w:r>
      <w:r>
        <w:t>сведения и документы о происхождении товара, предусмотренные условиями закупки;</w:t>
      </w:r>
    </w:p>
    <w:p>
      <w:pPr>
        <w:ind w:left="227" w:hanging="227"/>
      </w:pPr>
      <w:r>
        <w:rPr>
          <w:b/>
        </w:rPr>
        <w:t xml:space="preserve">☐ </w:t>
      </w:r>
      <w:r>
        <w:t>документы на программное обеспечение и лицензии.</w:t>
      </w:r>
    </w:p>
    <w:p>
      <w:pPr>
        <w:pStyle w:val="Heading1"/>
      </w:pPr>
      <w:r>
        <w:t>9. Настройка и инструктаж</w:t>
      </w:r>
    </w:p>
    <w:p>
      <w:pPr>
        <w:ind w:left="227" w:hanging="227"/>
      </w:pPr>
      <w:r>
        <w:rPr>
          <w:b/>
        </w:rPr>
        <w:t xml:space="preserve">☐ </w:t>
      </w:r>
      <w:r>
        <w:t>проверка комплектности и первичная настройка;</w:t>
      </w:r>
    </w:p>
    <w:p>
      <w:pPr>
        <w:ind w:left="227" w:hanging="227"/>
      </w:pPr>
      <w:r>
        <w:rPr>
          <w:b/>
        </w:rPr>
        <w:t xml:space="preserve">☐ </w:t>
      </w:r>
      <w:r>
        <w:t>объединение устройств в единую систему;</w:t>
      </w:r>
    </w:p>
    <w:p>
      <w:pPr>
        <w:ind w:left="227" w:hanging="227"/>
      </w:pPr>
      <w:r>
        <w:rPr>
          <w:b/>
        </w:rPr>
        <w:t xml:space="preserve">☐ </w:t>
      </w:r>
      <w:r>
        <w:t>настройка команд и базовых сценариев;</w:t>
      </w:r>
    </w:p>
    <w:p>
      <w:pPr>
        <w:ind w:left="227" w:hanging="227"/>
      </w:pPr>
      <w:r>
        <w:rPr>
          <w:b/>
        </w:rPr>
        <w:t xml:space="preserve">☐ </w:t>
      </w:r>
      <w:r>
        <w:t>тестовый запуск с участием представителей заказчика;</w:t>
      </w:r>
    </w:p>
    <w:p>
      <w:pPr>
        <w:ind w:left="227" w:hanging="227"/>
      </w:pPr>
      <w:r>
        <w:rPr>
          <w:b/>
        </w:rPr>
        <w:t xml:space="preserve">☐ </w:t>
      </w:r>
      <w:r>
        <w:t>инструктаж не менее [___] сотрудников продолжительностью не менее [___] минут / часов;</w:t>
      </w:r>
    </w:p>
    <w:p>
      <w:pPr>
        <w:ind w:left="227" w:hanging="227"/>
      </w:pPr>
      <w:r>
        <w:rPr>
          <w:b/>
        </w:rPr>
        <w:t xml:space="preserve">☐ </w:t>
      </w:r>
      <w:r>
        <w:t>передача краткой инструкции по запуску, зарядке и устранению типовых проблем;</w:t>
      </w:r>
    </w:p>
    <w:p>
      <w:pPr>
        <w:ind w:left="227" w:hanging="227"/>
      </w:pPr>
      <w:r>
        <w:rPr>
          <w:b/>
        </w:rPr>
        <w:t xml:space="preserve">☐ </w:t>
      </w:r>
      <w:r>
        <w:t>оформление акта настройки и/или инструктажа.</w:t>
      </w:r>
    </w:p>
    <w:p>
      <w:pPr>
        <w:pStyle w:val="Heading1"/>
      </w:pPr>
      <w:r>
        <w:t>10. Гарантия и сервис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4986"/>
        <w:gridCol w:w="4986"/>
      </w:tblGrid>
      <w:tr>
        <w:trPr>
          <w:tblHeader w:val="true"/>
        </w:trPr>
        <w:tc>
          <w:tcPr>
            <w:tcW w:type="dxa" w:w="3402"/>
            <w:shd w:fill="69B34C"/>
            <w:vAlign w:val="center"/>
          </w:tcPr>
          <w:p>
            <w:r>
              <w:rPr>
                <w:b/>
                <w:color w:val="FFFFFF"/>
                <w:sz w:val="17"/>
              </w:rPr>
              <w:t>Условие</w:t>
            </w:r>
          </w:p>
        </w:tc>
        <w:tc>
          <w:tcPr>
            <w:tcW w:type="dxa" w:w="6236"/>
            <w:shd w:fill="69B34C"/>
            <w:vAlign w:val="center"/>
          </w:tcPr>
          <w:p>
            <w:r>
              <w:rPr>
                <w:b/>
                <w:color w:val="FFFFFF"/>
                <w:sz w:val="17"/>
              </w:rPr>
              <w:t>Требование</w:t>
            </w:r>
          </w:p>
        </w:tc>
      </w:tr>
      <w:tr>
        <w:tc>
          <w:tcPr>
            <w:tcW w:type="dxa" w:w="3402"/>
            <w:vAlign w:val="center"/>
          </w:tcPr>
          <w:p>
            <w:r>
              <w:rPr>
                <w:sz w:val="17"/>
              </w:rPr>
              <w:t>Гарантийный срок</w:t>
            </w:r>
          </w:p>
        </w:tc>
        <w:tc>
          <w:tcPr>
            <w:tcW w:type="dxa" w:w="6236"/>
            <w:vAlign w:val="center"/>
          </w:tcPr>
          <w:p>
            <w:r>
              <w:rPr>
                <w:sz w:val="17"/>
              </w:rPr>
              <w:t>Не менее [___] месяцев с даты приемки</w:t>
            </w:r>
          </w:p>
        </w:tc>
      </w:tr>
      <w:tr>
        <w:tc>
          <w:tcPr>
            <w:tcW w:type="dxa" w:w="3402"/>
            <w:vAlign w:val="center"/>
            <w:shd w:fill="F8FAFA"/>
          </w:tcPr>
          <w:p>
            <w:r>
              <w:rPr>
                <w:sz w:val="17"/>
              </w:rPr>
              <w:t>Срок реакции на обращение</w:t>
            </w:r>
          </w:p>
        </w:tc>
        <w:tc>
          <w:tcPr>
            <w:tcW w:type="dxa" w:w="6236"/>
            <w:vAlign w:val="center"/>
            <w:shd w:fill="F8FAFA"/>
          </w:tcPr>
          <w:p>
            <w:r>
              <w:rPr>
                <w:sz w:val="17"/>
              </w:rPr>
              <w:t>Не более [___] рабочих дней</w:t>
            </w:r>
          </w:p>
        </w:tc>
      </w:tr>
      <w:tr>
        <w:tc>
          <w:tcPr>
            <w:tcW w:type="dxa" w:w="3402"/>
            <w:vAlign w:val="center"/>
          </w:tcPr>
          <w:p>
            <w:r>
              <w:rPr>
                <w:sz w:val="17"/>
              </w:rPr>
              <w:t>Срок ремонта / замены</w:t>
            </w:r>
          </w:p>
        </w:tc>
        <w:tc>
          <w:tcPr>
            <w:tcW w:type="dxa" w:w="6236"/>
            <w:vAlign w:val="center"/>
          </w:tcPr>
          <w:p>
            <w:r>
              <w:rPr>
                <w:sz w:val="17"/>
              </w:rPr>
              <w:t>Не более [___] календарных / рабочих дней</w:t>
            </w:r>
          </w:p>
        </w:tc>
      </w:tr>
      <w:tr>
        <w:tc>
          <w:tcPr>
            <w:tcW w:type="dxa" w:w="3402"/>
            <w:vAlign w:val="center"/>
            <w:shd w:fill="F8FAFA"/>
          </w:tcPr>
          <w:p>
            <w:r>
              <w:rPr>
                <w:sz w:val="17"/>
              </w:rPr>
              <w:t>Доставка в сервис</w:t>
            </w:r>
          </w:p>
        </w:tc>
        <w:tc>
          <w:tcPr>
            <w:tcW w:type="dxa" w:w="6236"/>
            <w:vAlign w:val="center"/>
            <w:shd w:fill="F8FAFA"/>
          </w:tcPr>
          <w:p>
            <w:r>
              <w:rPr>
                <w:sz w:val="17"/>
              </w:rPr>
              <w:t>[За счет поставщика / иной порядок]</w:t>
            </w:r>
          </w:p>
        </w:tc>
      </w:tr>
      <w:tr>
        <w:tc>
          <w:tcPr>
            <w:tcW w:type="dxa" w:w="3402"/>
            <w:vAlign w:val="center"/>
          </w:tcPr>
          <w:p>
            <w:r>
              <w:rPr>
                <w:sz w:val="17"/>
              </w:rPr>
              <w:t>Подменное оборудование</w:t>
            </w:r>
          </w:p>
        </w:tc>
        <w:tc>
          <w:tcPr>
            <w:tcW w:type="dxa" w:w="6236"/>
            <w:vAlign w:val="center"/>
          </w:tcPr>
          <w:p>
            <w:r>
              <w:rPr>
                <w:sz w:val="17"/>
              </w:rPr>
              <w:t>[Требуется / не требуется; условия]</w:t>
            </w:r>
          </w:p>
        </w:tc>
      </w:tr>
      <w:tr>
        <w:tc>
          <w:tcPr>
            <w:tcW w:type="dxa" w:w="3402"/>
            <w:vAlign w:val="center"/>
            <w:shd w:fill="F8FAFA"/>
          </w:tcPr>
          <w:p>
            <w:r>
              <w:rPr>
                <w:sz w:val="17"/>
              </w:rPr>
              <w:t>Обновления программного обеспечения</w:t>
            </w:r>
          </w:p>
        </w:tc>
        <w:tc>
          <w:tcPr>
            <w:tcW w:type="dxa" w:w="6236"/>
            <w:vAlign w:val="center"/>
            <w:shd w:fill="F8FAFA"/>
          </w:tcPr>
          <w:p>
            <w:r>
              <w:rPr>
                <w:sz w:val="17"/>
              </w:rPr>
              <w:t>[Условия предоставления]</w:t>
            </w:r>
          </w:p>
        </w:tc>
      </w:tr>
    </w:tbl>
    <w:p>
      <w:pPr>
        <w:pStyle w:val="Heading1"/>
      </w:pPr>
      <w:r>
        <w:t>11. Приемка и функциональная проверка</w:t>
      </w:r>
    </w:p>
    <w:p>
      <w:pPr>
        <w:ind w:left="227" w:hanging="227"/>
      </w:pPr>
      <w:r>
        <w:rPr>
          <w:b/>
        </w:rPr>
        <w:t xml:space="preserve">☐ </w:t>
      </w:r>
      <w:r>
        <w:t>сверка количества и комплектности со спецификацией;</w:t>
      </w:r>
    </w:p>
    <w:p>
      <w:pPr>
        <w:ind w:left="227" w:hanging="227"/>
      </w:pPr>
      <w:r>
        <w:rPr>
          <w:b/>
        </w:rPr>
        <w:t xml:space="preserve">☐ </w:t>
      </w:r>
      <w:r>
        <w:t>проверка маркировки, серийных номеров и документов;</w:t>
      </w:r>
    </w:p>
    <w:p>
      <w:pPr>
        <w:ind w:left="227" w:hanging="227"/>
      </w:pPr>
      <w:r>
        <w:rPr>
          <w:b/>
        </w:rPr>
        <w:t xml:space="preserve">☐ </w:t>
      </w:r>
      <w:r>
        <w:t>внешний осмотр корпусов, разъемов, креплений, кабелей и упаковки;</w:t>
      </w:r>
    </w:p>
    <w:p>
      <w:pPr>
        <w:ind w:left="227" w:hanging="227"/>
      </w:pPr>
      <w:r>
        <w:rPr>
          <w:b/>
        </w:rPr>
        <w:t xml:space="preserve">☐ </w:t>
      </w:r>
      <w:r>
        <w:t>включение каждого игрового устройства и датчика;</w:t>
      </w:r>
    </w:p>
    <w:p>
      <w:pPr>
        <w:ind w:left="227" w:hanging="227"/>
      </w:pPr>
      <w:r>
        <w:rPr>
          <w:b/>
        </w:rPr>
        <w:t xml:space="preserve">☐ </w:t>
      </w:r>
      <w:r>
        <w:t>проверка регистрации попаданий и индикации;</w:t>
      </w:r>
    </w:p>
    <w:p>
      <w:pPr>
        <w:ind w:left="227" w:hanging="227"/>
      </w:pPr>
      <w:r>
        <w:rPr>
          <w:b/>
        </w:rPr>
        <w:t xml:space="preserve">☐ </w:t>
      </w:r>
      <w:r>
        <w:t>формирование не менее [___] команд и изменение игровых параметров;</w:t>
      </w:r>
    </w:p>
    <w:p>
      <w:pPr>
        <w:ind w:left="227" w:hanging="227"/>
      </w:pPr>
      <w:r>
        <w:rPr>
          <w:b/>
        </w:rPr>
        <w:t xml:space="preserve">☐ </w:t>
      </w:r>
      <w:r>
        <w:t>централизованный запуск и завершение игры;</w:t>
      </w:r>
    </w:p>
    <w:p>
      <w:pPr>
        <w:ind w:left="227" w:hanging="227"/>
      </w:pPr>
      <w:r>
        <w:rPr>
          <w:b/>
        </w:rPr>
        <w:t xml:space="preserve">☐ </w:t>
      </w:r>
      <w:r>
        <w:t>проверка связи с программным обеспечением;</w:t>
      </w:r>
    </w:p>
    <w:p>
      <w:pPr>
        <w:ind w:left="227" w:hanging="227"/>
      </w:pPr>
      <w:r>
        <w:rPr>
          <w:b/>
        </w:rPr>
        <w:t xml:space="preserve">☐ </w:t>
      </w:r>
      <w:r>
        <w:t>проверка зарядного оборудования;</w:t>
      </w:r>
    </w:p>
    <w:p>
      <w:pPr>
        <w:ind w:left="227" w:hanging="227"/>
      </w:pPr>
      <w:r>
        <w:rPr>
          <w:b/>
        </w:rPr>
        <w:t xml:space="preserve">☐ </w:t>
      </w:r>
      <w:r>
        <w:t>проверка дополнительных сценарных устройств;</w:t>
      </w:r>
    </w:p>
    <w:p>
      <w:pPr>
        <w:ind w:left="227" w:hanging="227"/>
      </w:pPr>
      <w:r>
        <w:rPr>
          <w:b/>
        </w:rPr>
        <w:t xml:space="preserve">☐ </w:t>
      </w:r>
      <w:r>
        <w:t>одновременная работа всего комплекта в ходе тестовой игры продолжительностью не менее [___] минут.</w:t>
      </w:r>
    </w:p>
    <w:p>
      <w:r>
        <w:t>Несоответствие обязательному требованию фиксируется в акте или мотивированном отказе с указанием срока устранения и порядка повторной проверки.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20" w:right="1134" w:bottom="96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</w:pPr>
    <w:r>
      <w:t>Информационный шаблон. Требует адаптации под положение о закупке и локальные акты заказчика.</w:t>
    </w:r>
  </w:p>
  <w:p>
    <w:pPr>
      <w:jc w:val="right"/>
    </w:pPr>
    <w:r>
      <w:rPr>
        <w:sz w:val="16"/>
      </w:rPr>
      <w:t xml:space="preserve">Страница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  <w:pBdr>
        <w:bottom w:val="single" w:sz="6" w:space="3" w:color="D8DEE1"/>
      </w:pBdr>
    </w:pPr>
    <w:r>
      <w:rPr>
        <w:b/>
        <w:color w:val="69B34C"/>
      </w:rPr>
      <w:t>LASERWAR  |  Шаблоны для закупки лазертаг-оборудования по 223-ФЗ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color w:val="27343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27343A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2734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27343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2734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80"/>
    </w:pPr>
    <w:rPr>
      <w:rFonts w:ascii="Arial" w:hAnsi="Arial"/>
      <w:color w:val="5F696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