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Чек-лист приемки лазертаг-оборудования</w:t>
      </w:r>
    </w:p>
    <w:p>
      <w:pPr>
        <w:spacing w:after="200"/>
      </w:pPr>
      <w:r>
        <w:rPr>
          <w:rFonts w:ascii="Arial" w:hAnsi="Arial"/>
          <w:b/>
          <w:color w:val="69B34C"/>
          <w:sz w:val="23"/>
        </w:rPr>
        <w:t>Приложение к порядку приемки и функциональной проверки по договору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EF7E9"/>
            <w:tcBorders>
              <w:top w:sz="6" w:val="single" w:color="69B34C"/>
              <w:left w:sz="6" w:val="single" w:color="69B34C"/>
              <w:bottom w:sz="6" w:val="single" w:color="69B34C"/>
              <w:right w:sz="6" w:val="single" w:color="69B34C"/>
            </w:tcBorders>
          </w:tcPr>
          <w:p>
            <w:pPr>
              <w:spacing w:after="40"/>
            </w:pPr>
            <w:r>
              <w:rPr>
                <w:b/>
                <w:color w:val="27343A"/>
              </w:rPr>
              <w:t>Назначение</w:t>
            </w:r>
          </w:p>
          <w:p>
            <w:pPr>
              <w:spacing w:after="0"/>
            </w:pPr>
            <w:r>
              <w:t>Чек-лист помогает последовательно проверить документы, количество, комплектность и совместную работу системы. Перечень испытаний должен соответствовать договору и технической спецификации конкретной закупки.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Заказчик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[Полное наименование]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Договор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№ [___] от [дд.мм.гггг]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Поставщик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[Наименование, ИНН]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Место приемки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[Адрес]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Дата приемки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[дд.мм.гггг]</w:t>
            </w:r>
          </w:p>
        </w:tc>
      </w:tr>
      <w:tr>
        <w:tc>
          <w:tcPr>
            <w:tcW w:type="dxa" w:w="4986"/>
            <w:shd w:fill="F3F5F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rPr>
                <w:b/>
              </w:rPr>
              <w:t>Ответственное лицо / комиссия</w:t>
            </w:r>
          </w:p>
        </w:tc>
        <w:tc>
          <w:tcPr>
            <w:tcW w:type="dxa" w:w="4986"/>
            <w:vAlign w:val="center"/>
            <w:tcBorders>
              <w:top w:sz="4" w:val="single" w:color="D8DEE1"/>
              <w:left w:sz="4" w:val="single" w:color="D8DEE1"/>
              <w:bottom w:sz="4" w:val="single" w:color="D8DEE1"/>
              <w:right w:sz="4" w:val="single" w:color="D8DEE1"/>
            </w:tcBorders>
          </w:tcPr>
          <w:p>
            <w:r>
              <w:t>[Ф.И.О., должности]</w:t>
            </w:r>
          </w:p>
        </w:tc>
      </w:tr>
    </w:tbl>
    <w:p>
      <w:pPr>
        <w:pStyle w:val="Heading1"/>
      </w:pPr>
      <w:r>
        <w:t>1. Проверка документов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tcW w:type="dxa" w:w="45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№</w:t>
            </w:r>
          </w:p>
        </w:tc>
        <w:tc>
          <w:tcPr>
            <w:tcW w:type="dxa" w:w="4535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Документ</w:t>
            </w:r>
          </w:p>
        </w:tc>
        <w:tc>
          <w:tcPr>
            <w:tcW w:type="dxa" w:w="113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Получен</w:t>
            </w:r>
          </w:p>
        </w:tc>
        <w:tc>
          <w:tcPr>
            <w:tcW w:type="dxa" w:w="141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Соответствует</w:t>
            </w:r>
          </w:p>
        </w:tc>
        <w:tc>
          <w:tcPr>
            <w:tcW w:type="dxa" w:w="2551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Замечание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4535"/>
            <w:vAlign w:val="center"/>
          </w:tcPr>
          <w:p>
            <w:r>
              <w:rPr>
                <w:sz w:val="15"/>
              </w:rPr>
              <w:t>Накладная / УПД</w:t>
            </w:r>
          </w:p>
        </w:tc>
        <w:tc>
          <w:tcPr>
            <w:tcW w:type="dxa" w:w="1134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2</w:t>
            </w:r>
          </w:p>
        </w:tc>
        <w:tc>
          <w:tcPr>
            <w:tcW w:type="dxa" w:w="4535"/>
            <w:vAlign w:val="center"/>
            <w:shd w:fill="F8FAFA"/>
          </w:tcPr>
          <w:p>
            <w:r>
              <w:rPr>
                <w:sz w:val="15"/>
              </w:rPr>
              <w:t>Паспорта / формуляры изделий</w:t>
            </w:r>
          </w:p>
        </w:tc>
        <w:tc>
          <w:tcPr>
            <w:tcW w:type="dxa" w:w="1134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4535"/>
            <w:vAlign w:val="center"/>
          </w:tcPr>
          <w:p>
            <w:r>
              <w:rPr>
                <w:sz w:val="15"/>
              </w:rPr>
              <w:t>Руководства по эксплуатации на русском языке</w:t>
            </w:r>
          </w:p>
        </w:tc>
        <w:tc>
          <w:tcPr>
            <w:tcW w:type="dxa" w:w="1134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4</w:t>
            </w:r>
          </w:p>
        </w:tc>
        <w:tc>
          <w:tcPr>
            <w:tcW w:type="dxa" w:w="4535"/>
            <w:vAlign w:val="center"/>
            <w:shd w:fill="F8FAFA"/>
          </w:tcPr>
          <w:p>
            <w:r>
              <w:rPr>
                <w:sz w:val="15"/>
              </w:rPr>
              <w:t>Гарантийные документы</w:t>
            </w:r>
          </w:p>
        </w:tc>
        <w:tc>
          <w:tcPr>
            <w:tcW w:type="dxa" w:w="1134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5</w:t>
            </w:r>
          </w:p>
        </w:tc>
        <w:tc>
          <w:tcPr>
            <w:tcW w:type="dxa" w:w="4535"/>
            <w:vAlign w:val="center"/>
          </w:tcPr>
          <w:p>
            <w:r>
              <w:rPr>
                <w:sz w:val="15"/>
              </w:rPr>
              <w:t>Перечень серийных номеров</w:t>
            </w:r>
          </w:p>
        </w:tc>
        <w:tc>
          <w:tcPr>
            <w:tcW w:type="dxa" w:w="1134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6</w:t>
            </w:r>
          </w:p>
        </w:tc>
        <w:tc>
          <w:tcPr>
            <w:tcW w:type="dxa" w:w="4535"/>
            <w:vAlign w:val="center"/>
            <w:shd w:fill="F8FAFA"/>
          </w:tcPr>
          <w:p>
            <w:r>
              <w:rPr>
                <w:sz w:val="15"/>
              </w:rPr>
              <w:t>Документы о соответствии, если обязательны</w:t>
            </w:r>
          </w:p>
        </w:tc>
        <w:tc>
          <w:tcPr>
            <w:tcW w:type="dxa" w:w="1134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7</w:t>
            </w:r>
          </w:p>
        </w:tc>
        <w:tc>
          <w:tcPr>
            <w:tcW w:type="dxa" w:w="4535"/>
            <w:vAlign w:val="center"/>
          </w:tcPr>
          <w:p>
            <w:r>
              <w:rPr>
                <w:sz w:val="15"/>
              </w:rPr>
              <w:t>Документы о происхождении товара, если требуются</w:t>
            </w:r>
          </w:p>
        </w:tc>
        <w:tc>
          <w:tcPr>
            <w:tcW w:type="dxa" w:w="1134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8</w:t>
            </w:r>
          </w:p>
        </w:tc>
        <w:tc>
          <w:tcPr>
            <w:tcW w:type="dxa" w:w="4535"/>
            <w:vAlign w:val="center"/>
            <w:shd w:fill="F8FAFA"/>
          </w:tcPr>
          <w:p>
            <w:r>
              <w:rPr>
                <w:sz w:val="15"/>
              </w:rPr>
              <w:t>Документы на ПО и лицензии</w:t>
            </w:r>
          </w:p>
        </w:tc>
        <w:tc>
          <w:tcPr>
            <w:tcW w:type="dxa" w:w="1134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9</w:t>
            </w:r>
          </w:p>
        </w:tc>
        <w:tc>
          <w:tcPr>
            <w:tcW w:type="dxa" w:w="4535"/>
            <w:vAlign w:val="center"/>
          </w:tcPr>
          <w:p>
            <w:r>
              <w:rPr>
                <w:sz w:val="15"/>
              </w:rPr>
              <w:t>Акт настройки / инструктажа, если предусмотрен</w:t>
            </w:r>
          </w:p>
        </w:tc>
        <w:tc>
          <w:tcPr>
            <w:tcW w:type="dxa" w:w="1134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</w:tbl>
    <w:p>
      <w:pPr>
        <w:pStyle w:val="Heading1"/>
      </w:pPr>
      <w:r>
        <w:t>2. Количество и комплектность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tcW w:type="dxa" w:w="3855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Позиция</w:t>
            </w:r>
          </w:p>
        </w:tc>
        <w:tc>
          <w:tcPr>
            <w:tcW w:type="dxa" w:w="141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По договору</w:t>
            </w:r>
          </w:p>
        </w:tc>
        <w:tc>
          <w:tcPr>
            <w:tcW w:type="dxa" w:w="141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Фактически</w:t>
            </w:r>
          </w:p>
        </w:tc>
        <w:tc>
          <w:tcPr>
            <w:tcW w:type="dxa" w:w="1417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Соответствует</w:t>
            </w:r>
          </w:p>
        </w:tc>
        <w:tc>
          <w:tcPr>
            <w:tcW w:type="dxa" w:w="2381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Замечание</w:t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5"/>
              </w:rPr>
              <w:t>Игровые устройства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5"/>
              </w:rPr>
              <w:t>Комплекты датчиков поражения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5"/>
              </w:rPr>
              <w:t>Зарядные станции / устройства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5"/>
              </w:rPr>
              <w:t>Управляющее оборудование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5"/>
              </w:rPr>
              <w:t>Программное обеспечение / лицензии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5"/>
              </w:rPr>
              <w:t>Дополнительные игровые устройства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</w:tcPr>
          <w:p>
            <w:r>
              <w:rPr>
                <w:sz w:val="15"/>
              </w:rPr>
              <w:t>Кейсы / сумки / упаковка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3855"/>
            <w:vAlign w:val="center"/>
            <w:shd w:fill="F8FAFA"/>
          </w:tcPr>
          <w:p>
            <w:r>
              <w:rPr>
                <w:sz w:val="15"/>
              </w:rPr>
              <w:t>Кабели, блоки питания, крепления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[___]</w:t>
            </w:r>
          </w:p>
        </w:tc>
        <w:tc>
          <w:tcPr>
            <w:tcW w:type="dxa" w:w="1417"/>
            <w:vAlign w:val="center"/>
            <w:shd w:fill="F8FAFA"/>
          </w:tcPr>
          <w:p>
            <w:r>
              <w:rPr>
                <w:sz w:val="15"/>
              </w:rPr>
              <w:t>☐</w:t>
            </w:r>
          </w:p>
        </w:tc>
        <w:tc>
          <w:tcPr>
            <w:tcW w:type="dxa" w:w="238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</w:tbl>
    <w:p>
      <w:pPr>
        <w:pStyle w:val="Heading1"/>
      </w:pPr>
      <w:r>
        <w:t>3. Внешний осмотр и маркировка</w:t>
      </w:r>
    </w:p>
    <w:p>
      <w:pPr>
        <w:ind w:left="227" w:hanging="227"/>
      </w:pPr>
      <w:r>
        <w:rPr>
          <w:b/>
        </w:rPr>
        <w:t xml:space="preserve">☐ </w:t>
      </w:r>
      <w:r>
        <w:t>корпуса без трещин, деформаций и следов повреждения;</w:t>
      </w:r>
    </w:p>
    <w:p>
      <w:pPr>
        <w:ind w:left="227" w:hanging="227"/>
      </w:pPr>
      <w:r>
        <w:rPr>
          <w:b/>
        </w:rPr>
        <w:t xml:space="preserve">☐ </w:t>
      </w:r>
      <w:r>
        <w:t>разъемы, кнопки, экраны и органы управления исправны;</w:t>
      </w:r>
    </w:p>
    <w:p>
      <w:pPr>
        <w:ind w:left="227" w:hanging="227"/>
      </w:pPr>
      <w:r>
        <w:rPr>
          <w:b/>
        </w:rPr>
        <w:t xml:space="preserve">☐ </w:t>
      </w:r>
      <w:r>
        <w:t>крепления, ремни, повязки или жилеты не имеют повреждений;</w:t>
      </w:r>
    </w:p>
    <w:p>
      <w:pPr>
        <w:ind w:left="227" w:hanging="227"/>
      </w:pPr>
      <w:r>
        <w:rPr>
          <w:b/>
        </w:rPr>
        <w:t xml:space="preserve">☐ </w:t>
      </w:r>
      <w:r>
        <w:t>кабели и блоки питания целы, маркировка читаема;</w:t>
      </w:r>
    </w:p>
    <w:p>
      <w:pPr>
        <w:ind w:left="227" w:hanging="227"/>
      </w:pPr>
      <w:r>
        <w:rPr>
          <w:b/>
        </w:rPr>
        <w:t xml:space="preserve">☐ </w:t>
      </w:r>
      <w:r>
        <w:t>серийные номера соответствуют переданному перечню;</w:t>
      </w:r>
    </w:p>
    <w:p>
      <w:pPr>
        <w:ind w:left="227" w:hanging="227"/>
      </w:pPr>
      <w:r>
        <w:rPr>
          <w:b/>
        </w:rPr>
        <w:t xml:space="preserve">☐ </w:t>
      </w:r>
      <w:r>
        <w:t>упаковка и кейсы соответствуют условиям договора.</w:t>
      </w:r>
    </w:p>
    <w:p>
      <w:pPr>
        <w:pStyle w:val="Heading1"/>
      </w:pPr>
      <w:r>
        <w:t>4. Функциональная проверка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rPr>
          <w:tblHeader w:val="true"/>
        </w:trPr>
        <w:tc>
          <w:tcPr>
            <w:tcW w:type="dxa" w:w="5386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Проверка</w:t>
            </w:r>
          </w:p>
        </w:tc>
        <w:tc>
          <w:tcPr>
            <w:tcW w:type="dxa" w:w="2268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Результат</w:t>
            </w:r>
          </w:p>
        </w:tc>
        <w:tc>
          <w:tcPr>
            <w:tcW w:type="dxa" w:w="2551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Замечание</w:t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Включение каждого игрового устройства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Включение и связь каждого комплекта датчиков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Регистрация попаданий и индикация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Формирование команд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Изменение игровых параметров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Централизованный запуск и завершение игры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Связь с управляющим ПО / пультом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Получение результатов / статистики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Работа дополнительных игровых устройств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Одновременная работа всего комплекта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</w:tcPr>
          <w:p>
            <w:r>
              <w:rPr>
                <w:sz w:val="15"/>
              </w:rPr>
              <w:t>Зарядка требуемого количества устройств</w:t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5386"/>
            <w:vAlign w:val="center"/>
            <w:shd w:fill="F8FAFA"/>
          </w:tcPr>
          <w:p>
            <w:r>
              <w:rPr>
                <w:sz w:val="15"/>
              </w:rPr>
              <w:t>Тестовая игра продолжительностью [___] минут</w:t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  <w:t>☐ Пройдено  ☐ Нет</w:t>
            </w:r>
          </w:p>
        </w:tc>
        <w:tc>
          <w:tcPr>
            <w:tcW w:type="dxa" w:w="2551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</w:tbl>
    <w:p>
      <w:pPr>
        <w:pStyle w:val="Heading1"/>
      </w:pPr>
      <w:r>
        <w:t>5. Гарантия, настройка и инструктаж</w:t>
      </w:r>
    </w:p>
    <w:p>
      <w:pPr>
        <w:ind w:left="227" w:hanging="227"/>
      </w:pPr>
      <w:r>
        <w:rPr>
          <w:b/>
        </w:rPr>
        <w:t xml:space="preserve">☐ </w:t>
      </w:r>
      <w:r>
        <w:t>гарантийный срок соответствует договору;</w:t>
      </w:r>
    </w:p>
    <w:p>
      <w:pPr>
        <w:ind w:left="227" w:hanging="227"/>
      </w:pPr>
      <w:r>
        <w:rPr>
          <w:b/>
        </w:rPr>
        <w:t xml:space="preserve">☐ </w:t>
      </w:r>
      <w:r>
        <w:t>порядок обращения в сервис и контактные данные переданы;</w:t>
      </w:r>
    </w:p>
    <w:p>
      <w:pPr>
        <w:ind w:left="227" w:hanging="227"/>
      </w:pPr>
      <w:r>
        <w:rPr>
          <w:b/>
        </w:rPr>
        <w:t xml:space="preserve">☐ </w:t>
      </w:r>
      <w:r>
        <w:t>условия доставки в сервис и возврата оборудования понятны;</w:t>
      </w:r>
    </w:p>
    <w:p>
      <w:pPr>
        <w:ind w:left="227" w:hanging="227"/>
      </w:pPr>
      <w:r>
        <w:rPr>
          <w:b/>
        </w:rPr>
        <w:t xml:space="preserve">☐ </w:t>
      </w:r>
      <w:r>
        <w:t>настройка системы выполнена в предусмотренном объеме;</w:t>
      </w:r>
    </w:p>
    <w:p>
      <w:pPr>
        <w:ind w:left="227" w:hanging="227"/>
      </w:pPr>
      <w:r>
        <w:rPr>
          <w:b/>
        </w:rPr>
        <w:t xml:space="preserve">☐ </w:t>
      </w:r>
      <w:r>
        <w:t>инструктаж проведен для [___] сотрудников;</w:t>
      </w:r>
    </w:p>
    <w:p>
      <w:pPr>
        <w:ind w:left="227" w:hanging="227"/>
      </w:pPr>
      <w:r>
        <w:rPr>
          <w:b/>
        </w:rPr>
        <w:t xml:space="preserve">☐ </w:t>
      </w:r>
      <w:r>
        <w:t>представители заказчика умеют запускать, останавливать, заряжать и перенастраивать комплект.</w:t>
      </w:r>
    </w:p>
    <w:p>
      <w:pPr>
        <w:pStyle w:val="Heading1"/>
      </w:pPr>
      <w:r>
        <w:t>6. Выявленные несоответствия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tcW w:type="dxa" w:w="45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№</w:t>
            </w:r>
          </w:p>
        </w:tc>
        <w:tc>
          <w:tcPr>
            <w:tcW w:type="dxa" w:w="3969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Несоответствие</w:t>
            </w:r>
          </w:p>
        </w:tc>
        <w:tc>
          <w:tcPr>
            <w:tcW w:type="dxa" w:w="2154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Пункт договора / ТЗ</w:t>
            </w:r>
          </w:p>
        </w:tc>
        <w:tc>
          <w:tcPr>
            <w:tcW w:type="dxa" w:w="1701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Срок устранения</w:t>
            </w:r>
          </w:p>
        </w:tc>
        <w:tc>
          <w:tcPr>
            <w:tcW w:type="dxa" w:w="2268"/>
            <w:shd w:fill="69B34C"/>
            <w:vAlign w:val="center"/>
          </w:tcPr>
          <w:p>
            <w:r>
              <w:rPr>
                <w:b/>
                <w:color w:val="FFFFFF"/>
                <w:sz w:val="15"/>
              </w:rPr>
              <w:t>Результат повторной проверки</w:t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1</w:t>
            </w:r>
          </w:p>
        </w:tc>
        <w:tc>
          <w:tcPr>
            <w:tcW w:type="dxa" w:w="3969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2154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2</w:t>
            </w:r>
          </w:p>
        </w:tc>
        <w:tc>
          <w:tcPr>
            <w:tcW w:type="dxa" w:w="3969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2154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</w:tcPr>
          <w:p>
            <w:r>
              <w:rPr>
                <w:sz w:val="15"/>
              </w:rPr>
              <w:t>3</w:t>
            </w:r>
          </w:p>
        </w:tc>
        <w:tc>
          <w:tcPr>
            <w:tcW w:type="dxa" w:w="3969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2154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vAlign w:val="center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vAlign w:val="center"/>
          </w:tcPr>
          <w:p>
            <w:r>
              <w:rPr>
                <w:sz w:val="15"/>
              </w:rPr>
            </w:r>
          </w:p>
        </w:tc>
      </w:tr>
      <w:tr>
        <w:tc>
          <w:tcPr>
            <w:tcW w:type="dxa" w:w="454"/>
            <w:vAlign w:val="center"/>
            <w:shd w:fill="F8FAFA"/>
          </w:tcPr>
          <w:p>
            <w:r>
              <w:rPr>
                <w:sz w:val="15"/>
              </w:rPr>
              <w:t>4</w:t>
            </w:r>
          </w:p>
        </w:tc>
        <w:tc>
          <w:tcPr>
            <w:tcW w:type="dxa" w:w="3969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2154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1701"/>
            <w:vAlign w:val="center"/>
            <w:shd w:fill="F8FAFA"/>
          </w:tcPr>
          <w:p>
            <w:r>
              <w:rPr>
                <w:sz w:val="15"/>
              </w:rPr>
            </w:r>
          </w:p>
        </w:tc>
        <w:tc>
          <w:tcPr>
            <w:tcW w:type="dxa" w:w="2268"/>
            <w:vAlign w:val="center"/>
            <w:shd w:fill="F8FAFA"/>
          </w:tcPr>
          <w:p>
            <w:r>
              <w:rPr>
                <w:sz w:val="15"/>
              </w:rPr>
            </w:r>
          </w:p>
        </w:tc>
      </w:tr>
    </w:tbl>
    <w:p>
      <w:pPr>
        <w:pStyle w:val="Heading1"/>
      </w:pPr>
      <w:r>
        <w:t>7. Итоговое решение</w:t>
      </w:r>
    </w:p>
    <w:p>
      <w:pPr>
        <w:ind w:left="227" w:hanging="227"/>
      </w:pPr>
      <w:r>
        <w:rPr>
          <w:b/>
        </w:rPr>
        <w:t xml:space="preserve">☐ </w:t>
      </w:r>
      <w:r>
        <w:t>Товар принят без замечаний.</w:t>
      </w:r>
    </w:p>
    <w:p>
      <w:pPr>
        <w:ind w:left="227" w:hanging="227"/>
      </w:pPr>
      <w:r>
        <w:rPr>
          <w:b/>
        </w:rPr>
        <w:t xml:space="preserve">☐ </w:t>
      </w:r>
      <w:r>
        <w:t>Товар может быть принят после устранения замечаний, указанных в настоящем листе.</w:t>
      </w:r>
    </w:p>
    <w:p>
      <w:pPr>
        <w:ind w:left="227" w:hanging="227"/>
      </w:pPr>
      <w:r>
        <w:rPr>
          <w:b/>
        </w:rPr>
        <w:t xml:space="preserve">☐ </w:t>
      </w:r>
      <w:r>
        <w:t>В приемке отказано; подготовлен мотивированный отказ / акт несоответствия.</w:t>
      </w:r>
    </w:p>
    <w:p>
      <w:pPr>
        <w:ind w:left="227" w:hanging="227"/>
      </w:pPr>
      <w:r>
        <w:rPr>
          <w:b/>
        </w:rPr>
        <w:t xml:space="preserve">☐ </w:t>
      </w:r>
      <w:r>
        <w:t>Назначена повторная функциональная проверка на [дд.мм.гггг].</w:t>
      </w:r>
    </w:p>
    <w:p>
      <w:r>
        <w:t>Комментарий комиссии / ответственного лица:</w:t>
      </w:r>
    </w:p>
    <w:p>
      <w:r>
        <w:br/>
        <w:br/>
        <w:br/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b/>
              </w:rPr>
              <w:t>Представитель заказчика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  <w:tr>
        <w:tc>
          <w:tcPr>
            <w:tcW w:type="dxa" w:w="3324"/>
          </w:tcPr>
          <w:p>
            <w:r>
              <w:rPr>
                <w:b/>
              </w:rPr>
              <w:t>Член комиссии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  <w:tr>
        <w:tc>
          <w:tcPr>
            <w:tcW w:type="dxa" w:w="3324"/>
          </w:tcPr>
          <w:p>
            <w:r>
              <w:rPr>
                <w:b/>
              </w:rPr>
              <w:t>Представитель поставщика</w:t>
            </w:r>
          </w:p>
        </w:tc>
        <w:tc>
          <w:tcPr>
            <w:tcW w:type="dxa" w:w="3324"/>
          </w:tcPr>
          <w:p>
            <w:r>
              <w:t>____________________</w:t>
            </w:r>
          </w:p>
        </w:tc>
        <w:tc>
          <w:tcPr>
            <w:tcW w:type="dxa" w:w="3324"/>
          </w:tcPr>
          <w:p>
            <w:r>
              <w:t>[Ф.И.О., дата]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20" w:right="1134" w:bottom="96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</w:pPr>
    <w:r>
      <w:t>Информационный шаблон. Требует адаптации под положение о закупке и локальные акты заказчика.</w:t>
    </w:r>
  </w:p>
  <w:p>
    <w:pPr>
      <w:jc w:val="right"/>
    </w:pPr>
    <w:r>
      <w:rPr>
        <w:sz w:val="16"/>
      </w:rPr>
      <w:t xml:space="preserve">Страница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Note"/>
      <w:jc w:val="left"/>
      <w:pBdr>
        <w:bottom w:val="single" w:sz="6" w:space="3" w:color="D8DEE1"/>
      </w:pBdr>
    </w:pPr>
    <w:r>
      <w:rPr>
        <w:b/>
        <w:color w:val="69B34C"/>
      </w:rPr>
      <w:t>LASERWAR  |  Шаблоны для закупки лазертаг-оборудования по 223-ФЗ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color w:val="27343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27343A"/>
      <w:sz w:val="29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2734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27343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2734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pPr>
      <w:spacing w:after="80"/>
    </w:pPr>
    <w:rPr>
      <w:rFonts w:ascii="Arial" w:hAnsi="Arial"/>
      <w:color w:val="5F696E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